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9290E" w14:textId="6BEDE2A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FF0301">
        <w:rPr>
          <w:rFonts w:ascii="Arial" w:eastAsia="SimSun" w:hAnsi="Arial" w:cs="Times New Roman"/>
          <w:b/>
          <w:sz w:val="24"/>
          <w:szCs w:val="20"/>
          <w:lang w:val="en-GB"/>
        </w:rPr>
        <w:t>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93F52" w:rsidRPr="00393F52">
        <w:rPr>
          <w:rFonts w:ascii="Arial" w:eastAsia="SimSun" w:hAnsi="Arial" w:cs="Times New Roman"/>
          <w:b/>
          <w:bCs/>
          <w:sz w:val="24"/>
          <w:szCs w:val="20"/>
          <w:lang w:val="en-GB" w:eastAsia="ja-JP"/>
        </w:rPr>
        <w:t>R4-1807767</w:t>
      </w:r>
    </w:p>
    <w:p w14:paraId="6318CC3C" w14:textId="77777777" w:rsidR="00841BCD" w:rsidRPr="00841BCD" w:rsidRDefault="00851A8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Busan, </w:t>
      </w:r>
      <w:r w:rsidR="00FF0301">
        <w:rPr>
          <w:rFonts w:ascii="Arial" w:eastAsia="SimSun" w:hAnsi="Arial" w:cs="Times New Roman"/>
          <w:b/>
          <w:sz w:val="24"/>
          <w:szCs w:val="20"/>
          <w:lang w:val="en-GB"/>
        </w:rPr>
        <w:t>Korea</w:t>
      </w:r>
      <w:r w:rsidR="008165E9">
        <w:rPr>
          <w:rFonts w:ascii="Arial" w:eastAsia="SimSun" w:hAnsi="Arial" w:cs="Times New Roman"/>
          <w:b/>
          <w:sz w:val="24"/>
          <w:szCs w:val="20"/>
          <w:lang w:val="en-GB"/>
        </w:rPr>
        <w:t xml:space="preserve"> (Republic of)</w:t>
      </w:r>
      <w:r w:rsidR="00FF0301">
        <w:rPr>
          <w:rFonts w:ascii="Arial" w:eastAsia="SimSun" w:hAnsi="Arial" w:cs="Times New Roman"/>
          <w:b/>
          <w:sz w:val="24"/>
          <w:szCs w:val="20"/>
          <w:lang w:val="en-GB"/>
        </w:rPr>
        <w:t>, 21-25 May 2018</w:t>
      </w:r>
    </w:p>
    <w:bookmarkEnd w:id="0"/>
    <w:bookmarkEnd w:id="1"/>
    <w:p w14:paraId="496004F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3AA8804"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030BB99"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43A78">
        <w:rPr>
          <w:rFonts w:ascii="Arial" w:eastAsia="Calibri" w:hAnsi="Arial" w:cs="Arial"/>
          <w:b/>
          <w:bCs/>
          <w:sz w:val="24"/>
          <w:lang w:val="en-GB"/>
        </w:rPr>
        <w:t>RRM part of BWP switching</w:t>
      </w:r>
    </w:p>
    <w:p w14:paraId="2899B4A0" w14:textId="53700D5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61532" w:rsidRPr="00361532">
        <w:rPr>
          <w:rFonts w:ascii="Arial" w:eastAsia="MS Mincho" w:hAnsi="Arial" w:cs="Arial"/>
          <w:b/>
          <w:bCs/>
          <w:sz w:val="24"/>
          <w:szCs w:val="20"/>
          <w:lang w:val="en-GB"/>
        </w:rPr>
        <w:t>7.10.10.6</w:t>
      </w:r>
    </w:p>
    <w:p w14:paraId="2BB32203"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74371">
        <w:rPr>
          <w:rFonts w:ascii="Arial" w:eastAsia="Calibri" w:hAnsi="Arial" w:cs="Arial"/>
          <w:b/>
          <w:bCs/>
          <w:sz w:val="24"/>
          <w:lang w:val="en-GB"/>
        </w:rPr>
        <w:t>Discussion</w:t>
      </w:r>
    </w:p>
    <w:p w14:paraId="122C964C" w14:textId="77777777" w:rsidR="00841BCD" w:rsidRDefault="00841BCD" w:rsidP="00A37002">
      <w:pPr>
        <w:pStyle w:val="RAN4H1"/>
      </w:pPr>
      <w:r w:rsidRPr="00AE56B1">
        <w:t>Intro</w:t>
      </w:r>
      <w:r w:rsidRPr="00AE56B1">
        <w:rPr>
          <w:rStyle w:val="RAN4H1Char"/>
        </w:rPr>
        <w:t>ductio</w:t>
      </w:r>
      <w:r w:rsidRPr="00AE56B1">
        <w:t>n</w:t>
      </w:r>
    </w:p>
    <w:p w14:paraId="538EA6D8" w14:textId="77777777" w:rsidR="004266EC" w:rsidRDefault="004266EC" w:rsidP="00974371">
      <w:pPr>
        <w:rPr>
          <w:lang w:val="en-GB"/>
        </w:rPr>
      </w:pPr>
      <w:r>
        <w:rPr>
          <w:lang w:val="en-GB"/>
        </w:rPr>
        <w:t>In RAN4#86, RAN4 agreed BWP switching delays consisting of RF and BB delay for the following scenarios:</w:t>
      </w:r>
    </w:p>
    <w:p w14:paraId="22A38004" w14:textId="77777777" w:rsidR="00FC78DD" w:rsidRPr="004266EC" w:rsidRDefault="00644F8C" w:rsidP="004266EC">
      <w:pPr>
        <w:numPr>
          <w:ilvl w:val="1"/>
          <w:numId w:val="25"/>
        </w:numPr>
      </w:pPr>
      <w:r w:rsidRPr="004266EC">
        <w:rPr>
          <w:b/>
          <w:bCs/>
          <w:lang w:val="en-GB"/>
        </w:rPr>
        <w:t>Scenario 1</w:t>
      </w:r>
      <w:r w:rsidRPr="004266EC">
        <w:rPr>
          <w:lang w:val="en-GB"/>
        </w:rPr>
        <w:t>: The reconfiguration involves changing the center frequency of the BWP without changing its BW. The reconfiguration may or may not involve changing the SCS.</w:t>
      </w:r>
    </w:p>
    <w:p w14:paraId="7572E13B" w14:textId="77777777" w:rsidR="00FC78DD" w:rsidRPr="004266EC" w:rsidRDefault="00644F8C" w:rsidP="004266EC">
      <w:pPr>
        <w:numPr>
          <w:ilvl w:val="1"/>
          <w:numId w:val="25"/>
        </w:numPr>
      </w:pPr>
      <w:r w:rsidRPr="004266EC">
        <w:rPr>
          <w:b/>
          <w:bCs/>
          <w:lang w:val="en-GB"/>
        </w:rPr>
        <w:t>Scenario 2</w:t>
      </w:r>
      <w:r w:rsidRPr="004266EC">
        <w:rPr>
          <w:lang w:val="en-GB"/>
        </w:rPr>
        <w:t>: The reconfiguration involves changing the BW of the BWP without changing its center frequency. The reconfiguration may or may not involve changing the SCS.</w:t>
      </w:r>
    </w:p>
    <w:p w14:paraId="53379516" w14:textId="77777777" w:rsidR="00FC78DD" w:rsidRPr="004266EC" w:rsidRDefault="00644F8C" w:rsidP="004266EC">
      <w:pPr>
        <w:numPr>
          <w:ilvl w:val="1"/>
          <w:numId w:val="25"/>
        </w:numPr>
      </w:pPr>
      <w:r w:rsidRPr="004266EC">
        <w:rPr>
          <w:b/>
          <w:bCs/>
          <w:lang w:val="en-GB"/>
        </w:rPr>
        <w:t>Scenario 3</w:t>
      </w:r>
      <w:r w:rsidRPr="004266EC">
        <w:rPr>
          <w:lang w:val="en-GB"/>
        </w:rPr>
        <w:t>: The reconfiguration involves changing both the BW and the center frequency of the BWP. The reconfiguration may or may not involve changing the SCS.</w:t>
      </w:r>
    </w:p>
    <w:p w14:paraId="165F4230" w14:textId="77777777" w:rsidR="00FC78DD" w:rsidRPr="004266EC" w:rsidRDefault="00644F8C" w:rsidP="004266EC">
      <w:pPr>
        <w:numPr>
          <w:ilvl w:val="1"/>
          <w:numId w:val="25"/>
        </w:numPr>
      </w:pPr>
      <w:r w:rsidRPr="004266EC">
        <w:rPr>
          <w:b/>
          <w:bCs/>
          <w:lang w:val="en-GB"/>
        </w:rPr>
        <w:t>Scenario 4</w:t>
      </w:r>
      <w:r w:rsidRPr="004266EC">
        <w:rPr>
          <w:lang w:val="en-GB"/>
        </w:rPr>
        <w:t>: The reconfiguration involves changing only the SCS, where the center frequency and BW of the BWP remain unchanged.</w:t>
      </w:r>
    </w:p>
    <w:p w14:paraId="5F7AF311" w14:textId="77777777" w:rsidR="004266EC" w:rsidRPr="004266EC" w:rsidRDefault="004266EC" w:rsidP="004266EC">
      <w:r w:rsidRPr="004266EC">
        <w:rPr>
          <w:bCs/>
          <w:lang w:val="en-GB"/>
        </w:rPr>
        <w:t>The agreed delays are the following</w:t>
      </w:r>
      <w:r w:rsidR="009F7342">
        <w:rPr>
          <w:bCs/>
          <w:lang w:val="en-GB"/>
        </w:rPr>
        <w:t xml:space="preserve"> as agreed and sent to RAN1 for information in [1]</w:t>
      </w:r>
      <w:r w:rsidRPr="004266EC">
        <w:t>:</w:t>
      </w:r>
    </w:p>
    <w:p w14:paraId="0ACBC5E5" w14:textId="77777777" w:rsidR="00DD72ED" w:rsidRDefault="00DD72ED" w:rsidP="00DD72ED">
      <w:pPr>
        <w:pStyle w:val="Caption"/>
        <w:keepNext/>
      </w:pPr>
      <w:r>
        <w:t xml:space="preserve">Table </w:t>
      </w:r>
      <w:fldSimple w:instr=" SEQ Table \* ARABIC ">
        <w:r>
          <w:rPr>
            <w:noProof/>
          </w:rPr>
          <w:t>1</w:t>
        </w:r>
      </w:fldSimple>
      <w:r>
        <w:t>: BWP switching delays.</w:t>
      </w:r>
    </w:p>
    <w:p w14:paraId="46739930" w14:textId="77777777" w:rsidR="004266EC" w:rsidRPr="004266EC" w:rsidRDefault="004266EC" w:rsidP="004266EC">
      <w:pPr>
        <w:jc w:val="center"/>
      </w:pPr>
      <w:r>
        <w:rPr>
          <w:noProof/>
        </w:rPr>
        <w:drawing>
          <wp:inline distT="0" distB="0" distL="0" distR="0" wp14:anchorId="207906EF" wp14:editId="5E0BCD59">
            <wp:extent cx="4788478"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6252" cy="1693125"/>
                    </a:xfrm>
                    <a:prstGeom prst="rect">
                      <a:avLst/>
                    </a:prstGeom>
                    <a:noFill/>
                  </pic:spPr>
                </pic:pic>
              </a:graphicData>
            </a:graphic>
          </wp:inline>
        </w:drawing>
      </w:r>
    </w:p>
    <w:p w14:paraId="5BC8ACB7" w14:textId="77777777" w:rsidR="008165E9" w:rsidRPr="00974371" w:rsidRDefault="008165E9" w:rsidP="00974371">
      <w:pPr>
        <w:rPr>
          <w:lang w:val="en-GB"/>
        </w:rPr>
      </w:pPr>
      <w:r>
        <w:rPr>
          <w:lang w:val="en-GB"/>
        </w:rPr>
        <w:t>Discussion about RRM part of bandwidth part switching started in the previous RAN4 meeting. Based on the discussion</w:t>
      </w:r>
      <w:r w:rsidR="009F7342">
        <w:rPr>
          <w:lang w:val="en-GB"/>
        </w:rPr>
        <w:t>, a way forward was agreed in [2</w:t>
      </w:r>
      <w:r>
        <w:rPr>
          <w:lang w:val="en-GB"/>
        </w:rPr>
        <w:t>]. In this contribution, we continue the discussion based on the way forward.</w:t>
      </w:r>
    </w:p>
    <w:p w14:paraId="3C96BFFF" w14:textId="77777777" w:rsidR="003B659E" w:rsidRPr="00841BCD" w:rsidRDefault="003B659E" w:rsidP="00AE56B1">
      <w:pPr>
        <w:pStyle w:val="RAN4H1"/>
      </w:pPr>
      <w:r w:rsidRPr="00AE56B1">
        <w:t>Discussion</w:t>
      </w:r>
    </w:p>
    <w:p w14:paraId="7E507977" w14:textId="77777777" w:rsidR="002C2D19" w:rsidRDefault="008165E9" w:rsidP="003B659E">
      <w:pPr>
        <w:ind w:right="-22"/>
        <w:rPr>
          <w:rFonts w:cs="Times New Roman"/>
        </w:rPr>
      </w:pPr>
      <w:r>
        <w:rPr>
          <w:rFonts w:cs="Times New Roman"/>
        </w:rPr>
        <w:t>The co</w:t>
      </w:r>
      <w:r w:rsidR="009F7342">
        <w:rPr>
          <w:rFonts w:cs="Times New Roman"/>
        </w:rPr>
        <w:t>ntent of the way forward [2</w:t>
      </w:r>
      <w:r w:rsidR="004266EC">
        <w:rPr>
          <w:rFonts w:cs="Times New Roman"/>
        </w:rPr>
        <w:t>] is</w:t>
      </w:r>
      <w:r>
        <w:rPr>
          <w:rFonts w:cs="Times New Roman"/>
        </w:rPr>
        <w:t xml:space="preserve"> listed below:</w:t>
      </w:r>
    </w:p>
    <w:p w14:paraId="7050D6A5" w14:textId="77777777" w:rsidR="008165E9" w:rsidRPr="008165E9" w:rsidRDefault="008165E9" w:rsidP="008165E9">
      <w:pPr>
        <w:ind w:left="720" w:right="-22"/>
        <w:rPr>
          <w:rFonts w:cs="Times New Roman"/>
          <w:i/>
        </w:rPr>
      </w:pPr>
      <w:r w:rsidRPr="008165E9">
        <w:rPr>
          <w:rFonts w:cs="Times New Roman"/>
          <w:b/>
          <w:bCs/>
          <w:i/>
        </w:rPr>
        <w:t>Agreements</w:t>
      </w:r>
    </w:p>
    <w:p w14:paraId="68476110" w14:textId="77777777" w:rsidR="00C77AB7" w:rsidRPr="008165E9" w:rsidRDefault="00C220CC" w:rsidP="008165E9">
      <w:pPr>
        <w:numPr>
          <w:ilvl w:val="0"/>
          <w:numId w:val="21"/>
        </w:numPr>
        <w:tabs>
          <w:tab w:val="clear" w:pos="720"/>
          <w:tab w:val="num" w:pos="1440"/>
        </w:tabs>
        <w:ind w:left="1440" w:right="-22"/>
        <w:rPr>
          <w:rFonts w:cs="Times New Roman"/>
          <w:i/>
        </w:rPr>
      </w:pPr>
      <w:r w:rsidRPr="008165E9">
        <w:rPr>
          <w:rFonts w:cs="Times New Roman"/>
          <w:i/>
        </w:rPr>
        <w:t xml:space="preserve">BWP switching on a NR serving carrier (carrier1) will cause interruption in at least serving carrier1.  </w:t>
      </w:r>
    </w:p>
    <w:p w14:paraId="15639D06" w14:textId="77777777" w:rsidR="00C77AB7" w:rsidRPr="008165E9" w:rsidRDefault="00C220CC" w:rsidP="008165E9">
      <w:pPr>
        <w:numPr>
          <w:ilvl w:val="0"/>
          <w:numId w:val="21"/>
        </w:numPr>
        <w:tabs>
          <w:tab w:val="clear" w:pos="720"/>
          <w:tab w:val="num" w:pos="1440"/>
        </w:tabs>
        <w:ind w:left="1440" w:right="-22"/>
        <w:rPr>
          <w:rFonts w:cs="Times New Roman"/>
          <w:i/>
        </w:rPr>
      </w:pPr>
      <w:r w:rsidRPr="008165E9">
        <w:rPr>
          <w:rFonts w:cs="Times New Roman"/>
          <w:i/>
        </w:rPr>
        <w:t>If it is identified that BWP switching in NR serving carrier(s) will cause interruption on LTE serving carrier(s) in EN-DC then the interruption on LTE serving carrier(s) shall be specified in terms of subframes.</w:t>
      </w:r>
    </w:p>
    <w:p w14:paraId="298BAC79" w14:textId="77777777" w:rsidR="008165E9" w:rsidRPr="008165E9" w:rsidRDefault="008165E9" w:rsidP="008165E9">
      <w:pPr>
        <w:ind w:left="720" w:right="-22"/>
        <w:rPr>
          <w:rFonts w:cs="Times New Roman"/>
          <w:b/>
          <w:bCs/>
          <w:i/>
        </w:rPr>
      </w:pPr>
      <w:r w:rsidRPr="008165E9">
        <w:rPr>
          <w:rFonts w:cs="Times New Roman"/>
          <w:b/>
          <w:bCs/>
          <w:i/>
        </w:rPr>
        <w:t>Issues for Investigation</w:t>
      </w:r>
    </w:p>
    <w:p w14:paraId="6E6467C2" w14:textId="77777777" w:rsidR="00C77AB7" w:rsidRPr="008165E9" w:rsidRDefault="00C220CC" w:rsidP="008165E9">
      <w:pPr>
        <w:numPr>
          <w:ilvl w:val="0"/>
          <w:numId w:val="22"/>
        </w:numPr>
        <w:tabs>
          <w:tab w:val="clear" w:pos="720"/>
          <w:tab w:val="num" w:pos="1440"/>
        </w:tabs>
        <w:ind w:left="1440" w:right="-22"/>
        <w:rPr>
          <w:rFonts w:cs="Times New Roman"/>
          <w:i/>
        </w:rPr>
      </w:pPr>
      <w:r w:rsidRPr="008165E9">
        <w:rPr>
          <w:rFonts w:cs="Times New Roman"/>
          <w:i/>
        </w:rPr>
        <w:lastRenderedPageBreak/>
        <w:t>Investigate whether or not BWP switching for the 4 BWP reconfiguration scenarios on cell1 will also cause interruption:</w:t>
      </w:r>
    </w:p>
    <w:p w14:paraId="1CED7A76" w14:textId="77777777" w:rsidR="00C77AB7" w:rsidRPr="008165E9" w:rsidRDefault="00C220CC" w:rsidP="008165E9">
      <w:pPr>
        <w:numPr>
          <w:ilvl w:val="1"/>
          <w:numId w:val="22"/>
        </w:numPr>
        <w:tabs>
          <w:tab w:val="clear" w:pos="1440"/>
          <w:tab w:val="num" w:pos="2160"/>
        </w:tabs>
        <w:ind w:left="2160" w:right="-22"/>
        <w:rPr>
          <w:rFonts w:cs="Times New Roman"/>
          <w:i/>
        </w:rPr>
      </w:pPr>
      <w:r w:rsidRPr="008165E9">
        <w:rPr>
          <w:rFonts w:cs="Times New Roman"/>
          <w:i/>
        </w:rPr>
        <w:t>on LTE PCell and LTE activated SCell(s) and other NR serving cells (e.g. PSCell, SCells) in EN-DC,</w:t>
      </w:r>
    </w:p>
    <w:p w14:paraId="5D7FB371" w14:textId="77777777" w:rsidR="00C77AB7" w:rsidRPr="008165E9" w:rsidRDefault="00C220CC" w:rsidP="008165E9">
      <w:pPr>
        <w:numPr>
          <w:ilvl w:val="1"/>
          <w:numId w:val="22"/>
        </w:numPr>
        <w:tabs>
          <w:tab w:val="clear" w:pos="1440"/>
          <w:tab w:val="num" w:pos="2160"/>
        </w:tabs>
        <w:ind w:left="2160" w:right="-22"/>
        <w:rPr>
          <w:rFonts w:cs="Times New Roman"/>
          <w:i/>
        </w:rPr>
      </w:pPr>
      <w:r w:rsidRPr="008165E9">
        <w:rPr>
          <w:rFonts w:cs="Times New Roman"/>
          <w:i/>
        </w:rPr>
        <w:t>on other NR serving cells (e.g. PCell, SCells) in NR CA.</w:t>
      </w:r>
    </w:p>
    <w:p w14:paraId="0713E732" w14:textId="77777777" w:rsidR="00C77AB7" w:rsidRPr="008165E9" w:rsidRDefault="00C220CC" w:rsidP="008165E9">
      <w:pPr>
        <w:numPr>
          <w:ilvl w:val="0"/>
          <w:numId w:val="22"/>
        </w:numPr>
        <w:tabs>
          <w:tab w:val="clear" w:pos="720"/>
          <w:tab w:val="num" w:pos="1440"/>
        </w:tabs>
        <w:ind w:left="1440" w:right="-22"/>
        <w:rPr>
          <w:rFonts w:cs="Times New Roman"/>
          <w:i/>
        </w:rPr>
      </w:pPr>
      <w:r w:rsidRPr="008165E9">
        <w:rPr>
          <w:rFonts w:cs="Times New Roman"/>
          <w:i/>
        </w:rPr>
        <w:t>Investigate suitable interruption duration (in number of symbols or slots) on NR serving cell(s) due to BWP switching.</w:t>
      </w:r>
    </w:p>
    <w:p w14:paraId="21992748" w14:textId="77777777" w:rsidR="00C77AB7" w:rsidRPr="008165E9" w:rsidRDefault="00C220CC" w:rsidP="008165E9">
      <w:pPr>
        <w:numPr>
          <w:ilvl w:val="0"/>
          <w:numId w:val="22"/>
        </w:numPr>
        <w:tabs>
          <w:tab w:val="clear" w:pos="720"/>
          <w:tab w:val="num" w:pos="1440"/>
        </w:tabs>
        <w:ind w:left="1440" w:right="-22"/>
        <w:rPr>
          <w:rFonts w:cs="Times New Roman"/>
          <w:i/>
        </w:rPr>
      </w:pPr>
      <w:r w:rsidRPr="008165E9">
        <w:rPr>
          <w:rFonts w:cs="Times New Roman"/>
          <w:i/>
        </w:rPr>
        <w:t>Investigate for scenario where BWP switching results in change of the SCS from old SCS (SCS1) to a new SCS (SCS2), whether the time unit (number of symbols or slots) to express interruption time is based on SCS1 or SCS2.</w:t>
      </w:r>
    </w:p>
    <w:p w14:paraId="0B84BEE4" w14:textId="77777777" w:rsidR="00C77AB7" w:rsidRPr="008165E9" w:rsidRDefault="00C220CC" w:rsidP="008165E9">
      <w:pPr>
        <w:numPr>
          <w:ilvl w:val="0"/>
          <w:numId w:val="22"/>
        </w:numPr>
        <w:tabs>
          <w:tab w:val="clear" w:pos="720"/>
          <w:tab w:val="num" w:pos="1440"/>
        </w:tabs>
        <w:ind w:left="1440" w:right="-22"/>
        <w:rPr>
          <w:rFonts w:cs="Times New Roman"/>
          <w:i/>
        </w:rPr>
      </w:pPr>
      <w:bookmarkStart w:id="3" w:name="_Hlk513554295"/>
      <w:r w:rsidRPr="008165E9">
        <w:rPr>
          <w:rFonts w:cs="Times New Roman"/>
          <w:i/>
        </w:rPr>
        <w:t>Investigate whether there is any problem for the UE to transmit and/or receive signals in one or more time resources (symbols or slots) occurring immediately after the interruption time due to BWP switching e.g.</w:t>
      </w:r>
    </w:p>
    <w:p w14:paraId="7E9BDA1C" w14:textId="77777777" w:rsidR="00C77AB7" w:rsidRPr="008165E9" w:rsidRDefault="00C220CC" w:rsidP="008165E9">
      <w:pPr>
        <w:numPr>
          <w:ilvl w:val="1"/>
          <w:numId w:val="22"/>
        </w:numPr>
        <w:tabs>
          <w:tab w:val="clear" w:pos="1440"/>
          <w:tab w:val="num" w:pos="2160"/>
        </w:tabs>
        <w:ind w:left="2160" w:right="-22"/>
        <w:rPr>
          <w:rFonts w:cs="Times New Roman"/>
          <w:i/>
        </w:rPr>
      </w:pPr>
      <w:r w:rsidRPr="008165E9">
        <w:rPr>
          <w:rFonts w:cs="Times New Roman"/>
          <w:i/>
        </w:rPr>
        <w:t>any impact on channel estimation,</w:t>
      </w:r>
    </w:p>
    <w:p w14:paraId="3C0B6799" w14:textId="77777777" w:rsidR="00C77AB7" w:rsidRPr="008165E9" w:rsidRDefault="00C220CC" w:rsidP="008165E9">
      <w:pPr>
        <w:numPr>
          <w:ilvl w:val="1"/>
          <w:numId w:val="22"/>
        </w:numPr>
        <w:tabs>
          <w:tab w:val="clear" w:pos="1440"/>
          <w:tab w:val="num" w:pos="2160"/>
        </w:tabs>
        <w:ind w:left="2160" w:right="-22"/>
        <w:rPr>
          <w:rFonts w:cs="Times New Roman"/>
          <w:i/>
        </w:rPr>
      </w:pPr>
      <w:r w:rsidRPr="008165E9">
        <w:rPr>
          <w:rFonts w:cs="Times New Roman"/>
          <w:i/>
        </w:rPr>
        <w:t>any possible impact on measurements,</w:t>
      </w:r>
    </w:p>
    <w:p w14:paraId="1C922323" w14:textId="77777777" w:rsidR="00C77AB7" w:rsidRPr="008165E9" w:rsidRDefault="00C220CC" w:rsidP="008165E9">
      <w:pPr>
        <w:numPr>
          <w:ilvl w:val="1"/>
          <w:numId w:val="22"/>
        </w:numPr>
        <w:tabs>
          <w:tab w:val="clear" w:pos="1440"/>
          <w:tab w:val="num" w:pos="2160"/>
        </w:tabs>
        <w:ind w:left="2160" w:right="-22"/>
        <w:rPr>
          <w:rFonts w:cs="Times New Roman"/>
          <w:i/>
        </w:rPr>
      </w:pPr>
      <w:r w:rsidRPr="008165E9">
        <w:rPr>
          <w:rFonts w:cs="Times New Roman"/>
          <w:i/>
        </w:rPr>
        <w:t>analysis to identify other possible impacts is not precluded.</w:t>
      </w:r>
    </w:p>
    <w:bookmarkEnd w:id="3"/>
    <w:p w14:paraId="2D5AC54A" w14:textId="77777777" w:rsidR="00C77AB7" w:rsidRPr="008165E9" w:rsidRDefault="00C220CC" w:rsidP="008165E9">
      <w:pPr>
        <w:numPr>
          <w:ilvl w:val="0"/>
          <w:numId w:val="22"/>
        </w:numPr>
        <w:tabs>
          <w:tab w:val="clear" w:pos="720"/>
          <w:tab w:val="num" w:pos="1440"/>
        </w:tabs>
        <w:ind w:left="1440" w:right="-22"/>
        <w:rPr>
          <w:rFonts w:cs="Times New Roman"/>
          <w:i/>
        </w:rPr>
      </w:pPr>
      <w:r w:rsidRPr="008165E9">
        <w:rPr>
          <w:rFonts w:cs="Times New Roman"/>
          <w:i/>
        </w:rPr>
        <w:t xml:space="preserve">Investigate whether BWP switching due to change in only baseband parameter(s) without changing LO, RF BW or SCS will cause any interruption and the interruption time (if the procedure is supported and the interruption occurs). </w:t>
      </w:r>
    </w:p>
    <w:p w14:paraId="0E4F7DFB" w14:textId="77777777" w:rsidR="00C77AB7" w:rsidRPr="008165E9" w:rsidRDefault="00C220CC" w:rsidP="008165E9">
      <w:pPr>
        <w:numPr>
          <w:ilvl w:val="1"/>
          <w:numId w:val="22"/>
        </w:numPr>
        <w:tabs>
          <w:tab w:val="clear" w:pos="1440"/>
          <w:tab w:val="num" w:pos="2160"/>
        </w:tabs>
        <w:ind w:left="2160" w:right="-22"/>
        <w:rPr>
          <w:rFonts w:cs="Times New Roman"/>
          <w:i/>
        </w:rPr>
      </w:pPr>
      <w:r w:rsidRPr="008165E9">
        <w:rPr>
          <w:rFonts w:cs="Times New Roman"/>
          <w:i/>
        </w:rPr>
        <w:t xml:space="preserve">Additionally investigate if changing baseband parameters without BWP switch will need interruptions (if the procedure is supported). </w:t>
      </w:r>
    </w:p>
    <w:p w14:paraId="1AA0AE59" w14:textId="77777777" w:rsidR="008165E9" w:rsidRDefault="008165E9" w:rsidP="003B659E">
      <w:pPr>
        <w:ind w:right="-22"/>
        <w:rPr>
          <w:rFonts w:cs="Times New Roman"/>
        </w:rPr>
      </w:pPr>
      <w:r>
        <w:rPr>
          <w:rFonts w:cs="Times New Roman"/>
        </w:rPr>
        <w:t xml:space="preserve">In the following we discuss </w:t>
      </w:r>
      <w:r w:rsidR="00551789">
        <w:rPr>
          <w:rFonts w:cs="Times New Roman"/>
        </w:rPr>
        <w:t>interruptions and possible additional delay due to channel estimation, as well as how to capture the requirements in specifications.</w:t>
      </w:r>
    </w:p>
    <w:p w14:paraId="214D4D99" w14:textId="77777777" w:rsidR="008165E9" w:rsidRDefault="008165E9" w:rsidP="008165E9">
      <w:pPr>
        <w:pStyle w:val="RAN4H2"/>
      </w:pPr>
      <w:r>
        <w:t>Interruptions</w:t>
      </w:r>
    </w:p>
    <w:p w14:paraId="2DA6A214" w14:textId="1831C666" w:rsidR="008165E9" w:rsidRDefault="008165E9" w:rsidP="008165E9">
      <w:r>
        <w:t>It is clea</w:t>
      </w:r>
      <w:r w:rsidR="009F0C19">
        <w:t>r that the</w:t>
      </w:r>
      <w:r w:rsidR="009F0C19" w:rsidRPr="009F0C19">
        <w:t xml:space="preserve"> UE is not expected to receive DL signals</w:t>
      </w:r>
      <w:r w:rsidR="009F0C19">
        <w:t xml:space="preserve"> or transmit UL signals during BWP switching on the cell where the BWP is switched. However, it is up to RAN4 to d</w:t>
      </w:r>
      <w:r w:rsidR="004266EC">
        <w:t>iscuss</w:t>
      </w:r>
      <w:r w:rsidR="009F0C19">
        <w:t xml:space="preserve"> whether interruptions to other </w:t>
      </w:r>
      <w:r w:rsidR="009F7342">
        <w:t xml:space="preserve">NR and/or E-UTRA </w:t>
      </w:r>
      <w:r w:rsidR="009F0C19">
        <w:t>cells are needed and allowed during BWP switching.</w:t>
      </w:r>
    </w:p>
    <w:p w14:paraId="6CA49548" w14:textId="5C31A225" w:rsidR="004266EC" w:rsidRDefault="00AD5346" w:rsidP="008165E9">
      <w:r>
        <w:t xml:space="preserve">If interruptions </w:t>
      </w:r>
      <w:r w:rsidR="006056B3">
        <w:t xml:space="preserve">to other cells </w:t>
      </w:r>
      <w:r>
        <w:t xml:space="preserve">are needed, the reason for this needs to be clear. </w:t>
      </w:r>
      <w:r w:rsidR="00C61DBC">
        <w:t>Interruptions, as allowed by the current requirements are caused by tuning on/off another RF chain, which causes distortion to an already active RF chain (inter-band), or due to change of bandwidth and center frequency of active RF chain (intra-band). The question is whether retuning of RF settings due to BWP switching causes interruptions to other cells in a similar way.</w:t>
      </w:r>
      <w:r w:rsidR="004266EC">
        <w:t xml:space="preserve"> </w:t>
      </w:r>
    </w:p>
    <w:p w14:paraId="00FFD7F5" w14:textId="77777777" w:rsidR="009F0C19" w:rsidRDefault="009F7342" w:rsidP="008165E9">
      <w:r>
        <w:t>RAN4 should agree whether interruptions are needed for all scenarios 1-4 [1] or if some (or all) of them would not require interruptions</w:t>
      </w:r>
      <w:r w:rsidR="00F82070">
        <w:t xml:space="preserve"> to other cells</w:t>
      </w:r>
      <w:r>
        <w:t>. In our view, at least scenario 4 should not require interruptions</w:t>
      </w:r>
      <w:r w:rsidR="00F82070">
        <w:t xml:space="preserve"> to other cells</w:t>
      </w:r>
      <w:r>
        <w:t xml:space="preserve">, as only SCS is changed, and this scenario does not require any delay from RF perspective, which is </w:t>
      </w:r>
      <w:r w:rsidR="00804F01">
        <w:t>also noted in the LS</w:t>
      </w:r>
      <w:r w:rsidR="00F82070">
        <w:t xml:space="preserve"> [1]</w:t>
      </w:r>
      <w:r w:rsidR="00804F01">
        <w:t xml:space="preserve"> (Table 1). </w:t>
      </w:r>
    </w:p>
    <w:p w14:paraId="720C7B96" w14:textId="77777777" w:rsidR="00B63333" w:rsidRDefault="00B63333" w:rsidP="00B63333">
      <w:pPr>
        <w:pStyle w:val="RAN4proposal"/>
      </w:pPr>
      <w:r>
        <w:t xml:space="preserve">Interruptions </w:t>
      </w:r>
      <w:r w:rsidR="00804F01">
        <w:t xml:space="preserve">to other cells due to BWP switching </w:t>
      </w:r>
      <w:r>
        <w:t xml:space="preserve">are not introduced </w:t>
      </w:r>
      <w:r w:rsidR="004611F8">
        <w:t xml:space="preserve">at least </w:t>
      </w:r>
      <w:r>
        <w:t>for scenario 4.</w:t>
      </w:r>
    </w:p>
    <w:p w14:paraId="63EE226D" w14:textId="1C6CBEE1" w:rsidR="0020301C" w:rsidRDefault="0020301C" w:rsidP="0020301C">
      <w:r>
        <w:t>Interruption need for other scenarios than scenario 4 shall be discussed. However</w:t>
      </w:r>
      <w:r w:rsidR="00671C0C">
        <w:t>, the former RAN4 discussions related to UEs causing interrupt</w:t>
      </w:r>
      <w:r w:rsidR="006056B3">
        <w:t>ion</w:t>
      </w:r>
      <w:r w:rsidR="00671C0C">
        <w:t xml:space="preserve">s </w:t>
      </w:r>
      <w:r w:rsidR="006056B3">
        <w:t xml:space="preserve">were about interruptions being </w:t>
      </w:r>
      <w:r w:rsidR="00671C0C">
        <w:t>caused by turning on/off a second RF chain. For BWP switching there is no turning on or off an additional RF chain</w:t>
      </w:r>
      <w:r w:rsidR="006056B3">
        <w:t xml:space="preserve">, </w:t>
      </w:r>
      <w:r w:rsidR="00F86EB1">
        <w:t>so the situation is not completely similar to other cases where interruptions are allowed.</w:t>
      </w:r>
      <w:r>
        <w:t xml:space="preserve"> </w:t>
      </w:r>
    </w:p>
    <w:p w14:paraId="12E37CD5" w14:textId="06D5326E" w:rsidR="00FB145E" w:rsidRDefault="00FB145E" w:rsidP="00FB145E">
      <w:pPr>
        <w:pStyle w:val="RAN4observation0"/>
      </w:pPr>
      <w:r>
        <w:t>Whether interruptions are needed for scenarios 1-3 is to be discussed.</w:t>
      </w:r>
    </w:p>
    <w:p w14:paraId="41AB9B6B" w14:textId="77777777" w:rsidR="0020301C" w:rsidRPr="0020301C" w:rsidRDefault="0020301C" w:rsidP="0020301C">
      <w:r>
        <w:t>In the WF an additional point was added to be discussed:</w:t>
      </w:r>
    </w:p>
    <w:p w14:paraId="6F764052" w14:textId="77777777" w:rsidR="0020301C" w:rsidRPr="008165E9" w:rsidRDefault="0020301C" w:rsidP="0020301C">
      <w:pPr>
        <w:numPr>
          <w:ilvl w:val="0"/>
          <w:numId w:val="22"/>
        </w:numPr>
        <w:tabs>
          <w:tab w:val="clear" w:pos="720"/>
          <w:tab w:val="num" w:pos="1440"/>
        </w:tabs>
        <w:ind w:left="1440" w:right="-22"/>
        <w:rPr>
          <w:rFonts w:cs="Times New Roman"/>
          <w:i/>
        </w:rPr>
      </w:pPr>
      <w:r w:rsidRPr="008165E9">
        <w:rPr>
          <w:rFonts w:cs="Times New Roman"/>
          <w:i/>
        </w:rPr>
        <w:lastRenderedPageBreak/>
        <w:t xml:space="preserve">Investigate whether BWP switching due to change in only baseband parameter(s) without changing LO, RF BW or SCS will cause any interruption and the interruption time (if the procedure is supported and the interruption occurs). </w:t>
      </w:r>
    </w:p>
    <w:p w14:paraId="268E6B93" w14:textId="77777777" w:rsidR="0020301C" w:rsidRPr="008165E9" w:rsidRDefault="0020301C" w:rsidP="0020301C">
      <w:pPr>
        <w:numPr>
          <w:ilvl w:val="1"/>
          <w:numId w:val="22"/>
        </w:numPr>
        <w:tabs>
          <w:tab w:val="clear" w:pos="1440"/>
          <w:tab w:val="num" w:pos="2160"/>
        </w:tabs>
        <w:ind w:left="2160" w:right="-22"/>
        <w:rPr>
          <w:rFonts w:cs="Times New Roman"/>
          <w:i/>
        </w:rPr>
      </w:pPr>
      <w:r w:rsidRPr="008165E9">
        <w:rPr>
          <w:rFonts w:cs="Times New Roman"/>
          <w:i/>
        </w:rPr>
        <w:t xml:space="preserve">Additionally investigate if changing baseband parameters without BWP switch will need interruptions (if the procedure is supported). </w:t>
      </w:r>
    </w:p>
    <w:p w14:paraId="40C19B87" w14:textId="68E8495B" w:rsidR="0020301C" w:rsidRDefault="008A0738" w:rsidP="008165E9">
      <w:r>
        <w:t>As mentioned</w:t>
      </w:r>
      <w:r w:rsidR="0020301C">
        <w:t>, interruptions as they currently are defined in 36.133 and 38.133 are due to RF related actions</w:t>
      </w:r>
      <w:r>
        <w:t xml:space="preserve"> and there ha</w:t>
      </w:r>
      <w:r w:rsidR="00F86EB1">
        <w:t>ve</w:t>
      </w:r>
      <w:r>
        <w:t xml:space="preserve"> been no discussions related to </w:t>
      </w:r>
      <w:r w:rsidR="00F84CDA">
        <w:t>interruptions</w:t>
      </w:r>
      <w:r>
        <w:t xml:space="preserve"> due to change of BW and BB settings. Currently</w:t>
      </w:r>
      <w:r w:rsidR="0020301C">
        <w:t xml:space="preserve"> we do not see why changing baseband parameters would cause interruptions </w:t>
      </w:r>
      <w:r>
        <w:t xml:space="preserve">on other cells than the cell on which the BWP is switched. </w:t>
      </w:r>
    </w:p>
    <w:p w14:paraId="73A8D314" w14:textId="77777777" w:rsidR="00F84CDA" w:rsidRDefault="00F84CDA" w:rsidP="00F84CDA">
      <w:pPr>
        <w:pStyle w:val="RAN4proposal"/>
      </w:pPr>
      <w:r>
        <w:t>Interruptions are not allowed to other cells for BWP switching due to change in only baseband parameters.</w:t>
      </w:r>
    </w:p>
    <w:p w14:paraId="4A5D9521" w14:textId="2BC8E04B" w:rsidR="00B63333" w:rsidRDefault="00B63333" w:rsidP="008165E9">
      <w:r>
        <w:t>In case interruptions are introduced</w:t>
      </w:r>
      <w:r w:rsidR="00F50224">
        <w:t xml:space="preserve"> to other cells</w:t>
      </w:r>
      <w:r w:rsidR="0020301C">
        <w:t xml:space="preserve"> (for scenarios 1-3)</w:t>
      </w:r>
      <w:r>
        <w:t xml:space="preserve">, interruption duration needs to be </w:t>
      </w:r>
      <w:r w:rsidR="008A0738">
        <w:t xml:space="preserve">well </w:t>
      </w:r>
      <w:r>
        <w:t xml:space="preserve">defined. </w:t>
      </w:r>
      <w:r w:rsidR="008A0738">
        <w:t>As baseline w</w:t>
      </w:r>
      <w:r>
        <w:t>e do not see a need to define longer interruption</w:t>
      </w:r>
      <w:r w:rsidR="008A0738">
        <w:t xml:space="preserve"> durations</w:t>
      </w:r>
      <w:r>
        <w:t xml:space="preserve"> than what is required for other NR interrup</w:t>
      </w:r>
      <w:r w:rsidR="00804F01">
        <w:t>tion cases due to RF pulling</w:t>
      </w:r>
      <w:r w:rsidR="008A0738">
        <w:t xml:space="preserve"> which was </w:t>
      </w:r>
      <w:r w:rsidR="00F86EB1">
        <w:t>1-5 NR slots depending on subcarrier spacing as agreed in [4] and [5]</w:t>
      </w:r>
      <w:r>
        <w:t>. I</w:t>
      </w:r>
      <w:r w:rsidR="008A0738">
        <w:t>t should be clear that i</w:t>
      </w:r>
      <w:r>
        <w:t xml:space="preserve">nterruption duration </w:t>
      </w:r>
      <w:r w:rsidR="008A0738">
        <w:t xml:space="preserve">on impacted cells </w:t>
      </w:r>
      <w:r>
        <w:t>does not need to be as long as the whole BW</w:t>
      </w:r>
      <w:r w:rsidR="00804F01">
        <w:t xml:space="preserve">P switching delay. </w:t>
      </w:r>
      <w:r w:rsidR="00435474">
        <w:t>An interrupt</w:t>
      </w:r>
      <w:r w:rsidR="00F50224">
        <w:t>ion</w:t>
      </w:r>
      <w:r w:rsidR="00435474">
        <w:t xml:space="preserve"> on the impacted</w:t>
      </w:r>
      <w:r w:rsidR="00F50224">
        <w:t xml:space="preserve"> cell</w:t>
      </w:r>
      <w:r w:rsidR="00435474">
        <w:t xml:space="preserve"> </w:t>
      </w:r>
      <w:r>
        <w:t>sh</w:t>
      </w:r>
      <w:r w:rsidR="00435474">
        <w:t>all</w:t>
      </w:r>
      <w:r>
        <w:t xml:space="preserve"> only </w:t>
      </w:r>
      <w:r w:rsidR="00435474">
        <w:t xml:space="preserve">be </w:t>
      </w:r>
      <w:r>
        <w:t>the time required for the R</w:t>
      </w:r>
      <w:r w:rsidR="00A0766A">
        <w:t xml:space="preserve">F actions causing </w:t>
      </w:r>
      <w:r w:rsidR="00435474">
        <w:t xml:space="preserve">the </w:t>
      </w:r>
      <w:r w:rsidR="00A0766A">
        <w:t>interruption as in other interruption types introduced for NR.</w:t>
      </w:r>
    </w:p>
    <w:p w14:paraId="032EE976" w14:textId="7E33C9D5" w:rsidR="00B63333" w:rsidRDefault="00A0766A" w:rsidP="00B63333">
      <w:pPr>
        <w:pStyle w:val="RAN4proposal"/>
      </w:pPr>
      <w:r>
        <w:t xml:space="preserve">If interruptions due to BWP switching are </w:t>
      </w:r>
      <w:r w:rsidR="00876856">
        <w:t>needed</w:t>
      </w:r>
      <w:r>
        <w:t>, i</w:t>
      </w:r>
      <w:r w:rsidR="00B63333">
        <w:t xml:space="preserve">nterruption duration </w:t>
      </w:r>
      <w:r w:rsidR="00876856">
        <w:t xml:space="preserve">on the impacted cells </w:t>
      </w:r>
      <w:r>
        <w:t xml:space="preserve">shall only cover RF </w:t>
      </w:r>
      <w:r w:rsidR="00FB145E">
        <w:t>part</w:t>
      </w:r>
      <w:r>
        <w:t>, not the whole BWP switching time</w:t>
      </w:r>
      <w:r w:rsidR="00B63333">
        <w:t>.</w:t>
      </w:r>
    </w:p>
    <w:p w14:paraId="5D67604A" w14:textId="03B20AA4" w:rsidR="00F50224" w:rsidRPr="00F50224" w:rsidRDefault="00FB145E" w:rsidP="00C2314D">
      <w:r>
        <w:t>BWP switching delay</w:t>
      </w:r>
      <w:r w:rsidR="00F50224">
        <w:t xml:space="preserve"> duration to the cell where BWP is switched shall be defined based on the whole BWP switching time. This is at least the time agreed in [1]. However, RAN4 still needs to discuss whether additional delays are needed due to channel estimation or other reasons.</w:t>
      </w:r>
    </w:p>
    <w:p w14:paraId="39BEF882" w14:textId="77777777" w:rsidR="00DD72ED" w:rsidRDefault="00DD72ED" w:rsidP="00DD72ED">
      <w:pPr>
        <w:pStyle w:val="RAN4H2"/>
      </w:pPr>
      <w:r>
        <w:t>Channel estimation</w:t>
      </w:r>
    </w:p>
    <w:p w14:paraId="6E50663F" w14:textId="2C6F952B" w:rsidR="00DD72ED" w:rsidRDefault="00DD72ED" w:rsidP="008165E9">
      <w:r>
        <w:t xml:space="preserve">As listed in the way forward, RAN4 needs to discuss whether </w:t>
      </w:r>
      <w:r w:rsidR="00FE72B2">
        <w:t xml:space="preserve">the </w:t>
      </w:r>
      <w:r>
        <w:t xml:space="preserve">UE can </w:t>
      </w:r>
      <w:r w:rsidR="00A0766A">
        <w:t xml:space="preserve">receive and </w:t>
      </w:r>
      <w:r>
        <w:t xml:space="preserve">be scheduled immediately after the BWP switching delay defined in Table 1. As discussed in our paper in </w:t>
      </w:r>
      <w:r w:rsidR="00F50224">
        <w:t xml:space="preserve">the </w:t>
      </w:r>
      <w:r>
        <w:t>previous meeting</w:t>
      </w:r>
      <w:r w:rsidR="00F50224">
        <w:t xml:space="preserve"> [6]</w:t>
      </w:r>
      <w:r>
        <w:t xml:space="preserve"> it should be clarified whether UE </w:t>
      </w:r>
      <w:r w:rsidR="00872224">
        <w:t xml:space="preserve">in some or all BWP switching scenarios </w:t>
      </w:r>
      <w:r>
        <w:t xml:space="preserve">need </w:t>
      </w:r>
      <w:r w:rsidR="00872224">
        <w:t>time for</w:t>
      </w:r>
      <w:r>
        <w:t xml:space="preserve"> channel estimation after the defined BWP switching delay. </w:t>
      </w:r>
    </w:p>
    <w:p w14:paraId="78A41D7B" w14:textId="4CCB8137" w:rsidR="00400260" w:rsidRDefault="00DD72ED" w:rsidP="008165E9">
      <w:r>
        <w:t xml:space="preserve">We see that the need for channel estimation may be necessary only for some of the scenarios 1-4. More specifically, we think channel estimation may </w:t>
      </w:r>
      <w:r w:rsidR="00F82070">
        <w:t xml:space="preserve">only </w:t>
      </w:r>
      <w:r>
        <w:t xml:space="preserve">be needed for scenarios where the center frequency is changed – i.e. scenarios 1 and 3. </w:t>
      </w:r>
      <w:r w:rsidR="00872224">
        <w:t>T</w:t>
      </w:r>
      <w:r>
        <w:t xml:space="preserve">hese scenarios </w:t>
      </w:r>
      <w:r w:rsidR="00872224">
        <w:t>are quite</w:t>
      </w:r>
      <w:r>
        <w:t xml:space="preserve"> similar to intra-band SCell activation, where changing the center frequency </w:t>
      </w:r>
      <w:r w:rsidR="00A0766A">
        <w:t>causes longer interruption</w:t>
      </w:r>
      <w:r w:rsidR="00872224">
        <w:t xml:space="preserve"> on active cells due to loss of channel information</w:t>
      </w:r>
      <w:r w:rsidR="00A0766A">
        <w:t xml:space="preserve">. </w:t>
      </w:r>
      <w:r w:rsidR="00872224">
        <w:t xml:space="preserve">RAN4 would need to discuss if the </w:t>
      </w:r>
      <w:r w:rsidR="00A0766A">
        <w:t xml:space="preserve">UE </w:t>
      </w:r>
      <w:r w:rsidR="00872224">
        <w:t xml:space="preserve">in these scenarios </w:t>
      </w:r>
      <w:r w:rsidR="00A0766A">
        <w:t xml:space="preserve">need some </w:t>
      </w:r>
      <w:r w:rsidR="00872224">
        <w:t xml:space="preserve">additional </w:t>
      </w:r>
      <w:r w:rsidR="00A0766A">
        <w:t xml:space="preserve">time to estimate the channel before it can be scheduled. How long such delay should be would need to be discussed </w:t>
      </w:r>
      <w:r w:rsidR="00872224">
        <w:t xml:space="preserve">and defined </w:t>
      </w:r>
      <w:r w:rsidR="00A0766A">
        <w:t>by RAN4.</w:t>
      </w:r>
      <w:r w:rsidR="00F82070">
        <w:t xml:space="preserve"> </w:t>
      </w:r>
    </w:p>
    <w:p w14:paraId="1D6F799F" w14:textId="44AB3F31" w:rsidR="00DD72ED" w:rsidRDefault="00F82070" w:rsidP="008165E9">
      <w:r>
        <w:t>In case needed, channel estimation delay would depend on the availability of reference signals after BWP switch.</w:t>
      </w:r>
      <w:r w:rsidR="0020301C">
        <w:t xml:space="preserve"> This is dependent on RAN1 agreements.</w:t>
      </w:r>
    </w:p>
    <w:p w14:paraId="5899909E" w14:textId="77777777" w:rsidR="00B63333" w:rsidRDefault="00B63333" w:rsidP="008165E9">
      <w:r>
        <w:t xml:space="preserve">For other scenarios, we do not see a need for channel estimation. Scenario 4 is only for changing the SCS, which should not require any channel estimation. In scenario 2 bandwidth is changed, but center frequency remains the same. We do not see a need for channel estimation for this case either. However, for scenarios 2 and 4 it should be clarified if there are any limitations </w:t>
      </w:r>
      <w:r w:rsidR="00A0766A">
        <w:t xml:space="preserve">after BWP switch </w:t>
      </w:r>
      <w:r>
        <w:t>for scheduling the UE e.g. regarding MCS.</w:t>
      </w:r>
    </w:p>
    <w:p w14:paraId="164DDEA9" w14:textId="77777777" w:rsidR="00DD72ED" w:rsidRDefault="00B63333" w:rsidP="00B63333">
      <w:pPr>
        <w:pStyle w:val="RAN4proposal"/>
      </w:pPr>
      <w:r>
        <w:t>Additional channel estimation delay may be needed for scenarios 1 and 3.</w:t>
      </w:r>
    </w:p>
    <w:p w14:paraId="4463A407" w14:textId="1BE9D782" w:rsidR="00DD72ED" w:rsidRDefault="00A0766A" w:rsidP="00A0766A">
      <w:pPr>
        <w:pStyle w:val="RAN4proposal"/>
      </w:pPr>
      <w:r>
        <w:t>Additional channel estimation delay is not needed for scenarios 2 and 4.</w:t>
      </w:r>
    </w:p>
    <w:p w14:paraId="74FD5563" w14:textId="3BD9C63C" w:rsidR="00400260" w:rsidRPr="00400260" w:rsidRDefault="00400260" w:rsidP="00C2314D">
      <w:r>
        <w:t>RAN4 need to define additional UE BWP switch delay – if any – due to channel estimation.</w:t>
      </w:r>
    </w:p>
    <w:p w14:paraId="3D9887F2" w14:textId="77777777" w:rsidR="00133FE4" w:rsidRDefault="00133FE4" w:rsidP="00133FE4">
      <w:pPr>
        <w:pStyle w:val="RAN4H2"/>
      </w:pPr>
      <w:r>
        <w:t>Specification aspects</w:t>
      </w:r>
    </w:p>
    <w:p w14:paraId="1FA41BDE" w14:textId="77777777" w:rsidR="00133FE4" w:rsidRDefault="00133FE4" w:rsidP="00133FE4">
      <w:r>
        <w:t>In RAN1 LS [3], the following is stated:</w:t>
      </w:r>
    </w:p>
    <w:p w14:paraId="75CDDC07" w14:textId="77777777" w:rsidR="00133FE4" w:rsidRDefault="00133FE4" w:rsidP="00133FE4">
      <w:pPr>
        <w:spacing w:after="120"/>
        <w:ind w:left="720"/>
        <w:rPr>
          <w:rFonts w:ascii="Arial" w:hAnsi="Arial" w:cs="Arial"/>
          <w:bCs/>
        </w:rPr>
      </w:pPr>
      <w:r>
        <w:rPr>
          <w:rFonts w:ascii="Arial" w:hAnsi="Arial" w:cs="Arial"/>
          <w:bCs/>
        </w:rPr>
        <w:t>RAN1 discussed how to specify active BWP switching delay and has achieved the following agreements.</w:t>
      </w:r>
    </w:p>
    <w:tbl>
      <w:tblPr>
        <w:tblStyle w:val="TableGrid"/>
        <w:tblW w:w="9617" w:type="dxa"/>
        <w:tblInd w:w="720" w:type="dxa"/>
        <w:tblLook w:val="04A0" w:firstRow="1" w:lastRow="0" w:firstColumn="1" w:lastColumn="0" w:noHBand="0" w:noVBand="1"/>
      </w:tblPr>
      <w:tblGrid>
        <w:gridCol w:w="9617"/>
      </w:tblGrid>
      <w:tr w:rsidR="00133FE4" w14:paraId="1E5167BF" w14:textId="77777777" w:rsidTr="00133FE4">
        <w:tc>
          <w:tcPr>
            <w:tcW w:w="9617" w:type="dxa"/>
          </w:tcPr>
          <w:p w14:paraId="757EE436" w14:textId="77777777" w:rsidR="00133FE4" w:rsidRPr="00D91DE2" w:rsidRDefault="00133FE4" w:rsidP="009743E0">
            <w:pPr>
              <w:spacing w:before="120"/>
              <w:rPr>
                <w:lang w:eastAsia="zh-TW"/>
              </w:rPr>
            </w:pPr>
            <w:r w:rsidRPr="00ED7181">
              <w:rPr>
                <w:highlight w:val="green"/>
              </w:rPr>
              <w:lastRenderedPageBreak/>
              <w:t>Agreements</w:t>
            </w:r>
            <w:r w:rsidRPr="00ED7181">
              <w:rPr>
                <w:b/>
              </w:rPr>
              <w:t>:</w:t>
            </w:r>
          </w:p>
          <w:p w14:paraId="2005EC92" w14:textId="77777777" w:rsidR="00133FE4" w:rsidRPr="00D91DE2" w:rsidRDefault="00133FE4" w:rsidP="00133FE4">
            <w:pPr>
              <w:numPr>
                <w:ilvl w:val="0"/>
                <w:numId w:val="27"/>
              </w:numPr>
              <w:spacing w:after="120"/>
              <w:ind w:left="567" w:hanging="210"/>
              <w:rPr>
                <w:lang w:eastAsia="zh-TW"/>
              </w:rPr>
            </w:pPr>
            <w:r w:rsidRPr="00ED7181">
              <w:rPr>
                <w:lang w:eastAsia="zh-TW"/>
              </w:rPr>
              <w:t>It’s RAN1’s understanding that the active DL (or UL) BWP switching delay (i.e. T μs) for two types of UE capability will be specified in RAN4 specs.</w:t>
            </w:r>
          </w:p>
        </w:tc>
      </w:tr>
    </w:tbl>
    <w:p w14:paraId="3405C189" w14:textId="77777777" w:rsidR="00133FE4" w:rsidRDefault="00133FE4" w:rsidP="00133FE4"/>
    <w:p w14:paraId="2EA41670" w14:textId="3578702E" w:rsidR="00502229" w:rsidRDefault="00133FE4" w:rsidP="00133FE4">
      <w:r>
        <w:t xml:space="preserve">Based on </w:t>
      </w:r>
      <w:r w:rsidR="00FB5231">
        <w:t>RAN1 understanding</w:t>
      </w:r>
      <w:r>
        <w:t xml:space="preserve">, </w:t>
      </w:r>
      <w:r w:rsidR="00DD664F">
        <w:t>BWP switching delay requirement</w:t>
      </w:r>
      <w:r w:rsidR="000B2494">
        <w:t xml:space="preserve"> should be added</w:t>
      </w:r>
      <w:r>
        <w:t xml:space="preserve"> to RAN4 specifications. </w:t>
      </w:r>
      <w:r w:rsidR="00FB5231">
        <w:t>Although values BWP switching delay as in [1] are agreed by RF, we think the actual delay requiremen</w:t>
      </w:r>
      <w:r w:rsidR="00F25F89">
        <w:t xml:space="preserve">t should be captured in 38.133. </w:t>
      </w:r>
      <w:r w:rsidR="00502229">
        <w:t>We think the following way to introduce BWP switching would be reasonable:</w:t>
      </w:r>
    </w:p>
    <w:p w14:paraId="61D2CB79" w14:textId="00088516" w:rsidR="00502229" w:rsidRDefault="00502229" w:rsidP="00502229">
      <w:pPr>
        <w:pStyle w:val="ListParagraph"/>
        <w:numPr>
          <w:ilvl w:val="0"/>
          <w:numId w:val="29"/>
        </w:numPr>
      </w:pPr>
      <w:r>
        <w:t>Introduce a new section “BWP switching delay” under section 8 covering BWP switching delay on the cell where BWP is switched.</w:t>
      </w:r>
    </w:p>
    <w:p w14:paraId="14FC5355" w14:textId="77777777" w:rsidR="00502229" w:rsidRDefault="00502229" w:rsidP="00502229">
      <w:pPr>
        <w:pStyle w:val="ListParagraph"/>
        <w:numPr>
          <w:ilvl w:val="0"/>
          <w:numId w:val="29"/>
        </w:numPr>
      </w:pPr>
      <w:r>
        <w:t>If interruptions are caused to other cells, introduce these requirements under interruption section 8.2.</w:t>
      </w:r>
    </w:p>
    <w:p w14:paraId="5BDE729E" w14:textId="0D4E237B" w:rsidR="00FB5231" w:rsidRDefault="00DD664F" w:rsidP="00502229">
      <w:pPr>
        <w:pStyle w:val="ListParagraph"/>
        <w:numPr>
          <w:ilvl w:val="0"/>
          <w:numId w:val="29"/>
        </w:numPr>
      </w:pPr>
      <w:r>
        <w:t>If interruptions are also caused to E-UTRA cells, interruption requir</w:t>
      </w:r>
      <w:r w:rsidR="00502229">
        <w:t>ements for EN-DC are</w:t>
      </w:r>
      <w:r w:rsidR="003D0413">
        <w:t xml:space="preserve"> also needed in 36.133 to cover interruptions to E-UTRA cells.</w:t>
      </w:r>
      <w:r w:rsidR="00502229">
        <w:t xml:space="preserve"> For requirement on BWP switching delay 36.133 can refer to 38.133.</w:t>
      </w:r>
    </w:p>
    <w:p w14:paraId="7FE00D08" w14:textId="5EE143A5" w:rsidR="0036054B" w:rsidRDefault="00502229" w:rsidP="0041400E">
      <w:pPr>
        <w:pStyle w:val="RAN4proposal"/>
      </w:pPr>
      <w:r>
        <w:t>Add new section under section 8 in TS 38.133</w:t>
      </w:r>
      <w:r w:rsidR="00F25F89">
        <w:t xml:space="preserve"> covering BWP switching delay for</w:t>
      </w:r>
      <w:r>
        <w:t xml:space="preserve"> the cell where BWP is switched.</w:t>
      </w:r>
    </w:p>
    <w:p w14:paraId="5160F2DA" w14:textId="687458F8" w:rsidR="00DD664F" w:rsidRDefault="00DD664F" w:rsidP="00DD664F">
      <w:pPr>
        <w:pStyle w:val="RAN4proposal"/>
      </w:pPr>
      <w:r>
        <w:t xml:space="preserve">If interruptions due to BWP switching are </w:t>
      </w:r>
      <w:r w:rsidR="00502229">
        <w:t>required to other cells, cover these requirements under interruption sections.</w:t>
      </w:r>
    </w:p>
    <w:p w14:paraId="52860E24" w14:textId="3E7D8037" w:rsidR="000B2494" w:rsidRPr="000B2494" w:rsidRDefault="000B2494" w:rsidP="000B2494">
      <w:r>
        <w:t>We have made a text proposal for new section 8.x in 38.133 introducing BWP switching delay requirement in [7]. If interruptions are to be introduced for other cells, these requirements can be added under section 8.2.</w:t>
      </w:r>
    </w:p>
    <w:p w14:paraId="0F517448" w14:textId="44C3BEB5" w:rsidR="00CD7492" w:rsidRDefault="00CD7492" w:rsidP="00A37002">
      <w:pPr>
        <w:pStyle w:val="RAN4H1"/>
      </w:pPr>
      <w:r w:rsidRPr="00A37002">
        <w:t>Conclusion</w:t>
      </w:r>
    </w:p>
    <w:p w14:paraId="2477EC7D" w14:textId="5880C32A" w:rsidR="00361532" w:rsidRPr="00361532" w:rsidRDefault="00361532" w:rsidP="00361532">
      <w:pPr>
        <w:rPr>
          <w:lang w:val="en-GB"/>
        </w:rPr>
      </w:pPr>
      <w:r>
        <w:rPr>
          <w:lang w:val="en-GB"/>
        </w:rPr>
        <w:t>In this contribution we have discussed the RRM part of BWP switching delay. We have made the following proposals:</w:t>
      </w:r>
    </w:p>
    <w:p w14:paraId="24FBD30F" w14:textId="77777777" w:rsidR="00C41A59" w:rsidRDefault="00C41A59" w:rsidP="00C41A59">
      <w:pPr>
        <w:pStyle w:val="RAN4proposal"/>
        <w:numPr>
          <w:ilvl w:val="0"/>
          <w:numId w:val="30"/>
        </w:numPr>
      </w:pPr>
      <w:r>
        <w:t>Interruptions to other cells due to BWP switching are not introduced at least for scenario 4.</w:t>
      </w:r>
    </w:p>
    <w:p w14:paraId="1697FA7F" w14:textId="77777777" w:rsidR="00C41A59" w:rsidRDefault="00C41A59" w:rsidP="00C41A59">
      <w:pPr>
        <w:pStyle w:val="RAN4proposal"/>
      </w:pPr>
      <w:r>
        <w:t>Interruptions are not allowed to other cells for BWP switching due to change in only baseband parameters.</w:t>
      </w:r>
    </w:p>
    <w:p w14:paraId="11E914BB" w14:textId="77777777" w:rsidR="00C41A59" w:rsidRDefault="00C41A59" w:rsidP="00C41A59">
      <w:pPr>
        <w:pStyle w:val="RAN4proposal"/>
      </w:pPr>
      <w:r>
        <w:t>If interruptions due to BWP switching are needed, interruption duration on the impacted cells shall only cover RF part, not the whole BWP switching time.</w:t>
      </w:r>
    </w:p>
    <w:p w14:paraId="4D988BA4" w14:textId="77777777" w:rsidR="00C41A59" w:rsidRDefault="00C41A59" w:rsidP="00C41A59">
      <w:pPr>
        <w:pStyle w:val="RAN4proposal"/>
      </w:pPr>
      <w:r>
        <w:t>Additional channel estimation delay may be needed for scenarios 1 and 3.</w:t>
      </w:r>
    </w:p>
    <w:p w14:paraId="7031F6E8" w14:textId="77777777" w:rsidR="00C41A59" w:rsidRDefault="00C41A59" w:rsidP="00C41A59">
      <w:pPr>
        <w:pStyle w:val="RAN4proposal"/>
      </w:pPr>
      <w:r>
        <w:t>Additional channel estimation delay is not needed for scenarios 2 and 4.</w:t>
      </w:r>
    </w:p>
    <w:p w14:paraId="284F862B" w14:textId="77777777" w:rsidR="00C41A59" w:rsidRDefault="00C41A59" w:rsidP="00C41A59">
      <w:pPr>
        <w:pStyle w:val="RAN4proposal"/>
      </w:pPr>
      <w:r>
        <w:t>Add new section under section 8 in TS 38.133 covering BWP switching delay for the cell where BWP is switched.</w:t>
      </w:r>
    </w:p>
    <w:p w14:paraId="0DDAE216" w14:textId="77777777" w:rsidR="00C41A59" w:rsidRDefault="00C41A59" w:rsidP="00C41A59">
      <w:pPr>
        <w:pStyle w:val="RAN4proposal"/>
      </w:pPr>
      <w:r>
        <w:t>If interruptions due to BWP switching are required to other cells, cover these requirements under interruption sections.</w:t>
      </w:r>
    </w:p>
    <w:p w14:paraId="27B6544A" w14:textId="77777777" w:rsidR="003B659E" w:rsidRPr="0095295C" w:rsidRDefault="003B659E" w:rsidP="00974371">
      <w:pPr>
        <w:pStyle w:val="RAN4H1"/>
        <w:numPr>
          <w:ilvl w:val="0"/>
          <w:numId w:val="0"/>
        </w:numPr>
        <w:ind w:left="360" w:hanging="360"/>
      </w:pPr>
      <w:r w:rsidRPr="0095295C">
        <w:t>References</w:t>
      </w:r>
    </w:p>
    <w:p w14:paraId="18CC5CF9" w14:textId="2EB6A2F3" w:rsidR="009F7342" w:rsidRPr="009F7342" w:rsidRDefault="009F7342" w:rsidP="009F7342">
      <w:pPr>
        <w:numPr>
          <w:ilvl w:val="0"/>
          <w:numId w:val="1"/>
        </w:numPr>
        <w:overflowPunct w:val="0"/>
        <w:autoSpaceDE w:val="0"/>
        <w:autoSpaceDN w:val="0"/>
        <w:adjustRightInd w:val="0"/>
        <w:spacing w:after="120" w:line="240" w:lineRule="auto"/>
        <w:ind w:right="-22"/>
        <w:jc w:val="both"/>
        <w:textAlignment w:val="baseline"/>
        <w:rPr>
          <w:lang w:val="en-GB"/>
        </w:rPr>
      </w:pPr>
      <w:r>
        <w:rPr>
          <w:lang w:val="en-GB"/>
        </w:rPr>
        <w:t xml:space="preserve">R4-1803283, LS on BWP switching delay, </w:t>
      </w:r>
      <w:r w:rsidRPr="00E80EC6">
        <w:rPr>
          <w:lang w:val="en-GB"/>
        </w:rPr>
        <w:t>Intel Corporation</w:t>
      </w:r>
      <w:r>
        <w:rPr>
          <w:lang w:val="en-GB"/>
        </w:rPr>
        <w:t xml:space="preserve">,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sidR="00F84CDA">
        <w:rPr>
          <w:rFonts w:eastAsia="Times New Roman"/>
          <w:bCs/>
          <w:szCs w:val="20"/>
          <w:lang w:val="it-IT"/>
        </w:rPr>
        <w:t xml:space="preserve"> </w:t>
      </w:r>
      <w:r w:rsidRPr="0053342D">
        <w:rPr>
          <w:rFonts w:eastAsia="Times New Roman"/>
          <w:bCs/>
          <w:szCs w:val="20"/>
        </w:rPr>
        <w:t>Greece</w:t>
      </w:r>
      <w:r w:rsidRPr="0053342D">
        <w:rPr>
          <w:rFonts w:eastAsia="Times New Roman"/>
          <w:bCs/>
          <w:szCs w:val="20"/>
          <w:lang w:val="it-IT"/>
        </w:rPr>
        <w:t>, 26 Feb – 2 Mar 2018</w:t>
      </w:r>
      <w:r w:rsidRPr="0053342D">
        <w:rPr>
          <w:szCs w:val="20"/>
        </w:rPr>
        <w:t>.</w:t>
      </w:r>
    </w:p>
    <w:p w14:paraId="731777DF" w14:textId="77777777" w:rsidR="003B659E" w:rsidRPr="00F82070" w:rsidRDefault="008165E9" w:rsidP="008165E9">
      <w:pPr>
        <w:numPr>
          <w:ilvl w:val="0"/>
          <w:numId w:val="1"/>
        </w:numPr>
        <w:overflowPunct w:val="0"/>
        <w:autoSpaceDE w:val="0"/>
        <w:autoSpaceDN w:val="0"/>
        <w:adjustRightInd w:val="0"/>
        <w:spacing w:after="120"/>
        <w:jc w:val="both"/>
        <w:textAlignment w:val="baseline"/>
        <w:rPr>
          <w:szCs w:val="20"/>
        </w:rPr>
      </w:pPr>
      <w:r w:rsidRPr="008165E9">
        <w:rPr>
          <w:rFonts w:eastAsia="Times New Roman" w:cs="Times New Roman"/>
          <w:szCs w:val="20"/>
          <w:lang w:val="en-GB"/>
        </w:rPr>
        <w:t>R4-1805540</w:t>
      </w:r>
      <w:r>
        <w:rPr>
          <w:rFonts w:eastAsia="Times New Roman" w:cs="Times New Roman"/>
          <w:szCs w:val="20"/>
          <w:lang w:val="en-GB"/>
        </w:rPr>
        <w:t xml:space="preserve">, </w:t>
      </w:r>
      <w:r w:rsidRPr="008165E9">
        <w:rPr>
          <w:rFonts w:eastAsia="Times New Roman" w:cs="Times New Roman"/>
          <w:szCs w:val="20"/>
        </w:rPr>
        <w:t>Way forward on BWP Switching</w:t>
      </w:r>
      <w:r>
        <w:rPr>
          <w:rFonts w:eastAsia="Times New Roman" w:cs="Times New Roman"/>
          <w:szCs w:val="20"/>
        </w:rPr>
        <w:t xml:space="preserve">, </w:t>
      </w:r>
      <w:r w:rsidRPr="008165E9">
        <w:rPr>
          <w:rFonts w:eastAsia="Times New Roman" w:cs="Times New Roman"/>
          <w:szCs w:val="20"/>
        </w:rPr>
        <w:t>Ericsson, Intel, Mediatek, Nokia, Nokia Shanghai Bell, Huawei, HiSilicon</w:t>
      </w:r>
      <w:r>
        <w:rPr>
          <w:rFonts w:eastAsia="Times New Roman" w:cs="Times New Roman"/>
          <w:szCs w:val="20"/>
        </w:rPr>
        <w:t xml:space="preserve">, </w:t>
      </w:r>
      <w:bookmarkStart w:id="4" w:name="_Hlk513029874"/>
      <w:r w:rsidRPr="008165E9">
        <w:rPr>
          <w:rFonts w:eastAsia="Times New Roman"/>
          <w:szCs w:val="20"/>
        </w:rPr>
        <w:t>3GPP TSG-RAN WG4 Meeting # 86bis</w:t>
      </w:r>
      <w:r>
        <w:rPr>
          <w:szCs w:val="20"/>
        </w:rPr>
        <w:t xml:space="preserve">, </w:t>
      </w:r>
      <w:r w:rsidRPr="008165E9">
        <w:rPr>
          <w:rFonts w:eastAsia="Times New Roman" w:cs="Times New Roman"/>
          <w:szCs w:val="20"/>
        </w:rPr>
        <w:t>Melbourne, Australia, April 16-20, 2018</w:t>
      </w:r>
      <w:r>
        <w:rPr>
          <w:rFonts w:eastAsia="Times New Roman" w:cs="Times New Roman"/>
          <w:szCs w:val="20"/>
        </w:rPr>
        <w:t>.</w:t>
      </w:r>
      <w:bookmarkEnd w:id="4"/>
    </w:p>
    <w:p w14:paraId="665EA7C9" w14:textId="0E4275C5" w:rsidR="00F82070" w:rsidRPr="00C2314D" w:rsidRDefault="00F82070" w:rsidP="00F82070">
      <w:pPr>
        <w:numPr>
          <w:ilvl w:val="0"/>
          <w:numId w:val="1"/>
        </w:numPr>
        <w:overflowPunct w:val="0"/>
        <w:autoSpaceDE w:val="0"/>
        <w:autoSpaceDN w:val="0"/>
        <w:adjustRightInd w:val="0"/>
        <w:spacing w:after="120"/>
        <w:jc w:val="both"/>
        <w:textAlignment w:val="baseline"/>
        <w:rPr>
          <w:szCs w:val="20"/>
        </w:rPr>
      </w:pPr>
      <w:r w:rsidRPr="00F82070">
        <w:rPr>
          <w:szCs w:val="20"/>
        </w:rPr>
        <w:t>R4-1806108</w:t>
      </w:r>
      <w:r>
        <w:rPr>
          <w:szCs w:val="20"/>
        </w:rPr>
        <w:t xml:space="preserve">, </w:t>
      </w:r>
      <w:r w:rsidRPr="00F82070">
        <w:rPr>
          <w:szCs w:val="20"/>
        </w:rPr>
        <w:t>LS on active BWP switching delay specification</w:t>
      </w:r>
      <w:r>
        <w:rPr>
          <w:szCs w:val="20"/>
        </w:rPr>
        <w:t xml:space="preserve">, </w:t>
      </w:r>
      <w:r w:rsidRPr="00F82070">
        <w:rPr>
          <w:szCs w:val="20"/>
        </w:rPr>
        <w:t>RAN1, MediaTek</w:t>
      </w:r>
      <w:r>
        <w:rPr>
          <w:szCs w:val="20"/>
        </w:rPr>
        <w:t xml:space="preserve">, </w:t>
      </w:r>
      <w:r>
        <w:rPr>
          <w:rFonts w:eastAsia="Times New Roman"/>
          <w:szCs w:val="20"/>
        </w:rPr>
        <w:t>3GPP TSG-RAN WG1 Meeting # 92bis</w:t>
      </w:r>
      <w:r>
        <w:rPr>
          <w:szCs w:val="20"/>
        </w:rPr>
        <w:t xml:space="preserve">, </w:t>
      </w:r>
      <w:r>
        <w:rPr>
          <w:rFonts w:eastAsia="Times New Roman" w:cs="Times New Roman"/>
          <w:szCs w:val="20"/>
        </w:rPr>
        <w:t>Sanya, China</w:t>
      </w:r>
      <w:r w:rsidRPr="008165E9">
        <w:rPr>
          <w:rFonts w:eastAsia="Times New Roman" w:cs="Times New Roman"/>
          <w:szCs w:val="20"/>
        </w:rPr>
        <w:t>, April 16-20, 2018</w:t>
      </w:r>
      <w:r>
        <w:rPr>
          <w:rFonts w:eastAsia="Times New Roman" w:cs="Times New Roman"/>
          <w:szCs w:val="20"/>
        </w:rPr>
        <w:t>.</w:t>
      </w:r>
    </w:p>
    <w:p w14:paraId="4EE69183" w14:textId="77777777" w:rsidR="00F86EB1" w:rsidRPr="001048C6" w:rsidRDefault="00F86EB1" w:rsidP="00F86EB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R4-1805563, </w:t>
      </w:r>
      <w:r w:rsidRPr="001048C6">
        <w:rPr>
          <w:rFonts w:eastAsia="Times New Roman" w:cs="Times New Roman"/>
          <w:szCs w:val="20"/>
          <w:lang w:val="en-GB"/>
        </w:rPr>
        <w:t>CR on TS38.133 for interruption in EN-DC</w:t>
      </w:r>
      <w:r>
        <w:rPr>
          <w:rFonts w:eastAsia="Times New Roman" w:cs="Times New Roman"/>
          <w:szCs w:val="20"/>
          <w:lang w:val="en-GB"/>
        </w:rPr>
        <w:t xml:space="preserve">, Huawei, HiSilicon, </w:t>
      </w:r>
      <w:r w:rsidRPr="008165E9">
        <w:rPr>
          <w:rFonts w:eastAsia="Times New Roman"/>
          <w:szCs w:val="20"/>
        </w:rPr>
        <w:t>3GPP TSG-RAN WG4 Meeting # 86bis</w:t>
      </w:r>
      <w:r>
        <w:rPr>
          <w:szCs w:val="20"/>
        </w:rPr>
        <w:t xml:space="preserve">, </w:t>
      </w:r>
      <w:r w:rsidRPr="008165E9">
        <w:rPr>
          <w:rFonts w:eastAsia="Times New Roman" w:cs="Times New Roman"/>
          <w:szCs w:val="20"/>
        </w:rPr>
        <w:t>Melbourne, Australia, April 16-20, 2018</w:t>
      </w:r>
      <w:r>
        <w:rPr>
          <w:rFonts w:eastAsia="Times New Roman" w:cs="Times New Roman"/>
          <w:szCs w:val="20"/>
        </w:rPr>
        <w:t>.</w:t>
      </w:r>
    </w:p>
    <w:p w14:paraId="7E692D8F" w14:textId="77777777" w:rsidR="00F86EB1" w:rsidRPr="001048C6" w:rsidRDefault="00F86EB1" w:rsidP="00F86EB1">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lastRenderedPageBreak/>
        <w:t xml:space="preserve">R4-1805562, </w:t>
      </w:r>
      <w:r w:rsidRPr="001048C6">
        <w:rPr>
          <w:rFonts w:eastAsia="Times New Roman" w:cs="Times New Roman"/>
          <w:szCs w:val="20"/>
          <w:lang w:val="en-GB"/>
        </w:rPr>
        <w:t>CR on TS38.133 for interruption for CA</w:t>
      </w:r>
      <w:r>
        <w:rPr>
          <w:rFonts w:eastAsia="Times New Roman" w:cs="Times New Roman"/>
          <w:szCs w:val="20"/>
          <w:lang w:val="en-GB"/>
        </w:rPr>
        <w:t xml:space="preserve">, Huawei, HiSilicon, </w:t>
      </w:r>
      <w:r w:rsidRPr="008165E9">
        <w:rPr>
          <w:rFonts w:eastAsia="Times New Roman"/>
          <w:szCs w:val="20"/>
        </w:rPr>
        <w:t>3GPP TSG-RAN WG4 Meeting # 86bis</w:t>
      </w:r>
      <w:r>
        <w:rPr>
          <w:szCs w:val="20"/>
        </w:rPr>
        <w:t xml:space="preserve">, </w:t>
      </w:r>
      <w:r w:rsidRPr="008165E9">
        <w:rPr>
          <w:rFonts w:eastAsia="Times New Roman" w:cs="Times New Roman"/>
          <w:szCs w:val="20"/>
        </w:rPr>
        <w:t>Melbourne, Australia, April 16-20, 2018</w:t>
      </w:r>
      <w:r>
        <w:rPr>
          <w:rFonts w:eastAsia="Times New Roman" w:cs="Times New Roman"/>
          <w:szCs w:val="20"/>
        </w:rPr>
        <w:t>.</w:t>
      </w:r>
    </w:p>
    <w:p w14:paraId="26ACD14F" w14:textId="6FAC9D23" w:rsidR="00F86EB1" w:rsidRPr="000B2494" w:rsidRDefault="00F50224" w:rsidP="00F50224">
      <w:pPr>
        <w:numPr>
          <w:ilvl w:val="0"/>
          <w:numId w:val="1"/>
        </w:numPr>
        <w:overflowPunct w:val="0"/>
        <w:autoSpaceDE w:val="0"/>
        <w:autoSpaceDN w:val="0"/>
        <w:adjustRightInd w:val="0"/>
        <w:spacing w:after="120"/>
        <w:jc w:val="both"/>
        <w:textAlignment w:val="baseline"/>
        <w:rPr>
          <w:szCs w:val="20"/>
        </w:rPr>
      </w:pPr>
      <w:r w:rsidRPr="00F50224">
        <w:rPr>
          <w:szCs w:val="20"/>
        </w:rPr>
        <w:t>R4-1804556</w:t>
      </w:r>
      <w:r>
        <w:rPr>
          <w:szCs w:val="20"/>
        </w:rPr>
        <w:t xml:space="preserve">, </w:t>
      </w:r>
      <w:r w:rsidRPr="00F50224">
        <w:rPr>
          <w:szCs w:val="20"/>
        </w:rPr>
        <w:t>On the RRM part of BWP switching delay</w:t>
      </w:r>
      <w:r>
        <w:rPr>
          <w:szCs w:val="20"/>
        </w:rPr>
        <w:t xml:space="preserve">, Nokia, Nokia Shanghai Bell, </w:t>
      </w:r>
      <w:r w:rsidRPr="008165E9">
        <w:rPr>
          <w:rFonts w:eastAsia="Times New Roman"/>
          <w:szCs w:val="20"/>
        </w:rPr>
        <w:t>3GPP TSG-RAN WG4 Meeting # 86bis</w:t>
      </w:r>
      <w:r>
        <w:rPr>
          <w:szCs w:val="20"/>
        </w:rPr>
        <w:t xml:space="preserve">, </w:t>
      </w:r>
      <w:r w:rsidRPr="008165E9">
        <w:rPr>
          <w:rFonts w:eastAsia="Times New Roman" w:cs="Times New Roman"/>
          <w:szCs w:val="20"/>
        </w:rPr>
        <w:t>Melbourne, Australia, April 16-20, 2018</w:t>
      </w:r>
      <w:r>
        <w:rPr>
          <w:rFonts w:eastAsia="Times New Roman" w:cs="Times New Roman"/>
          <w:szCs w:val="20"/>
        </w:rPr>
        <w:t>.</w:t>
      </w:r>
    </w:p>
    <w:p w14:paraId="4C153BC7" w14:textId="32524196" w:rsidR="000B2494" w:rsidRPr="000B2494" w:rsidRDefault="00393F52" w:rsidP="00393F52">
      <w:pPr>
        <w:numPr>
          <w:ilvl w:val="0"/>
          <w:numId w:val="1"/>
        </w:numPr>
        <w:overflowPunct w:val="0"/>
        <w:autoSpaceDE w:val="0"/>
        <w:autoSpaceDN w:val="0"/>
        <w:adjustRightInd w:val="0"/>
        <w:spacing w:after="120"/>
        <w:jc w:val="both"/>
        <w:textAlignment w:val="baseline"/>
        <w:rPr>
          <w:szCs w:val="20"/>
        </w:rPr>
      </w:pPr>
      <w:r w:rsidRPr="00393F52">
        <w:rPr>
          <w:szCs w:val="20"/>
        </w:rPr>
        <w:t>R4-1807783</w:t>
      </w:r>
      <w:r w:rsidR="000B2494" w:rsidRPr="000B2494">
        <w:rPr>
          <w:szCs w:val="20"/>
        </w:rPr>
        <w:t xml:space="preserve">, BWP switching delay requirements, Nokia, Nokia Shanghai Bell, 3GPP TSG-RAN </w:t>
      </w:r>
      <w:r w:rsidR="000B2494">
        <w:rPr>
          <w:szCs w:val="20"/>
        </w:rPr>
        <w:t xml:space="preserve">WG4 Meeting #87, </w:t>
      </w:r>
      <w:r w:rsidR="000B2494" w:rsidRPr="000B2494">
        <w:rPr>
          <w:szCs w:val="20"/>
        </w:rPr>
        <w:t>Busan, Korea (Republic of), 21-25 May 2018</w:t>
      </w:r>
      <w:r w:rsidR="000B2494">
        <w:rPr>
          <w:szCs w:val="20"/>
        </w:rPr>
        <w:t>.</w:t>
      </w:r>
    </w:p>
    <w:p w14:paraId="5857BAEF" w14:textId="77777777" w:rsidR="00504EE9" w:rsidRPr="00841BCD" w:rsidRDefault="00504EE9" w:rsidP="00974371">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38AB58C3" w14:textId="77777777" w:rsidR="00687FA0" w:rsidRPr="003B659E" w:rsidRDefault="00687FA0" w:rsidP="00841BCD">
      <w:pPr>
        <w:ind w:right="-22"/>
        <w:rPr>
          <w:lang w:val="en-GB"/>
        </w:rPr>
      </w:pPr>
      <w:bookmarkStart w:id="5" w:name="_GoBack"/>
      <w:bookmarkEnd w:id="5"/>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E0B64" w14:textId="77777777" w:rsidR="007E0A5A" w:rsidRDefault="007E0A5A" w:rsidP="00001C9B">
      <w:pPr>
        <w:spacing w:after="0" w:line="240" w:lineRule="auto"/>
      </w:pPr>
      <w:r>
        <w:separator/>
      </w:r>
    </w:p>
  </w:endnote>
  <w:endnote w:type="continuationSeparator" w:id="0">
    <w:p w14:paraId="1F63C559" w14:textId="77777777" w:rsidR="007E0A5A" w:rsidRDefault="007E0A5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16824" w14:textId="77777777" w:rsidR="007E0A5A" w:rsidRDefault="007E0A5A" w:rsidP="00001C9B">
      <w:pPr>
        <w:spacing w:after="0" w:line="240" w:lineRule="auto"/>
      </w:pPr>
      <w:r>
        <w:separator/>
      </w:r>
    </w:p>
  </w:footnote>
  <w:footnote w:type="continuationSeparator" w:id="0">
    <w:p w14:paraId="4DC130D6" w14:textId="77777777" w:rsidR="007E0A5A" w:rsidRDefault="007E0A5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DB223C"/>
    <w:multiLevelType w:val="hybridMultilevel"/>
    <w:tmpl w:val="4260ED26"/>
    <w:lvl w:ilvl="0" w:tplc="5F06039A">
      <w:start w:val="1"/>
      <w:numFmt w:val="bullet"/>
      <w:lvlText w:val="•"/>
      <w:lvlJc w:val="left"/>
      <w:pPr>
        <w:tabs>
          <w:tab w:val="num" w:pos="720"/>
        </w:tabs>
        <w:ind w:left="720" w:hanging="360"/>
      </w:pPr>
      <w:rPr>
        <w:rFonts w:ascii="Arial" w:hAnsi="Arial" w:hint="default"/>
      </w:rPr>
    </w:lvl>
    <w:lvl w:ilvl="1" w:tplc="6DBE8722">
      <w:start w:val="1"/>
      <w:numFmt w:val="bullet"/>
      <w:lvlText w:val="•"/>
      <w:lvlJc w:val="left"/>
      <w:pPr>
        <w:tabs>
          <w:tab w:val="num" w:pos="1440"/>
        </w:tabs>
        <w:ind w:left="1440" w:hanging="360"/>
      </w:pPr>
      <w:rPr>
        <w:rFonts w:ascii="Arial" w:hAnsi="Arial" w:hint="default"/>
      </w:rPr>
    </w:lvl>
    <w:lvl w:ilvl="2" w:tplc="AC26D262">
      <w:numFmt w:val="bullet"/>
      <w:lvlText w:val="•"/>
      <w:lvlJc w:val="left"/>
      <w:pPr>
        <w:tabs>
          <w:tab w:val="num" w:pos="2160"/>
        </w:tabs>
        <w:ind w:left="2160" w:hanging="360"/>
      </w:pPr>
      <w:rPr>
        <w:rFonts w:ascii="Arial" w:hAnsi="Arial" w:hint="default"/>
      </w:rPr>
    </w:lvl>
    <w:lvl w:ilvl="3" w:tplc="A040593A" w:tentative="1">
      <w:start w:val="1"/>
      <w:numFmt w:val="bullet"/>
      <w:lvlText w:val="•"/>
      <w:lvlJc w:val="left"/>
      <w:pPr>
        <w:tabs>
          <w:tab w:val="num" w:pos="2880"/>
        </w:tabs>
        <w:ind w:left="2880" w:hanging="360"/>
      </w:pPr>
      <w:rPr>
        <w:rFonts w:ascii="Arial" w:hAnsi="Arial" w:hint="default"/>
      </w:rPr>
    </w:lvl>
    <w:lvl w:ilvl="4" w:tplc="9BE0798E" w:tentative="1">
      <w:start w:val="1"/>
      <w:numFmt w:val="bullet"/>
      <w:lvlText w:val="•"/>
      <w:lvlJc w:val="left"/>
      <w:pPr>
        <w:tabs>
          <w:tab w:val="num" w:pos="3600"/>
        </w:tabs>
        <w:ind w:left="3600" w:hanging="360"/>
      </w:pPr>
      <w:rPr>
        <w:rFonts w:ascii="Arial" w:hAnsi="Arial" w:hint="default"/>
      </w:rPr>
    </w:lvl>
    <w:lvl w:ilvl="5" w:tplc="E1423170" w:tentative="1">
      <w:start w:val="1"/>
      <w:numFmt w:val="bullet"/>
      <w:lvlText w:val="•"/>
      <w:lvlJc w:val="left"/>
      <w:pPr>
        <w:tabs>
          <w:tab w:val="num" w:pos="4320"/>
        </w:tabs>
        <w:ind w:left="4320" w:hanging="360"/>
      </w:pPr>
      <w:rPr>
        <w:rFonts w:ascii="Arial" w:hAnsi="Arial" w:hint="default"/>
      </w:rPr>
    </w:lvl>
    <w:lvl w:ilvl="6" w:tplc="0A941640" w:tentative="1">
      <w:start w:val="1"/>
      <w:numFmt w:val="bullet"/>
      <w:lvlText w:val="•"/>
      <w:lvlJc w:val="left"/>
      <w:pPr>
        <w:tabs>
          <w:tab w:val="num" w:pos="5040"/>
        </w:tabs>
        <w:ind w:left="5040" w:hanging="360"/>
      </w:pPr>
      <w:rPr>
        <w:rFonts w:ascii="Arial" w:hAnsi="Arial" w:hint="default"/>
      </w:rPr>
    </w:lvl>
    <w:lvl w:ilvl="7" w:tplc="EB907DE0" w:tentative="1">
      <w:start w:val="1"/>
      <w:numFmt w:val="bullet"/>
      <w:lvlText w:val="•"/>
      <w:lvlJc w:val="left"/>
      <w:pPr>
        <w:tabs>
          <w:tab w:val="num" w:pos="5760"/>
        </w:tabs>
        <w:ind w:left="5760" w:hanging="360"/>
      </w:pPr>
      <w:rPr>
        <w:rFonts w:ascii="Arial" w:hAnsi="Arial" w:hint="default"/>
      </w:rPr>
    </w:lvl>
    <w:lvl w:ilvl="8" w:tplc="8B500E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A4CBA"/>
    <w:multiLevelType w:val="hybridMultilevel"/>
    <w:tmpl w:val="54EC6518"/>
    <w:lvl w:ilvl="0" w:tplc="9260E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03B9E"/>
    <w:multiLevelType w:val="hybridMultilevel"/>
    <w:tmpl w:val="B57CFA76"/>
    <w:lvl w:ilvl="0" w:tplc="04BABE32">
      <w:start w:val="1"/>
      <w:numFmt w:val="bullet"/>
      <w:lvlText w:val="•"/>
      <w:lvlJc w:val="left"/>
      <w:pPr>
        <w:tabs>
          <w:tab w:val="num" w:pos="720"/>
        </w:tabs>
        <w:ind w:left="720" w:hanging="360"/>
      </w:pPr>
      <w:rPr>
        <w:rFonts w:ascii="Arial" w:hAnsi="Arial" w:hint="default"/>
      </w:rPr>
    </w:lvl>
    <w:lvl w:ilvl="1" w:tplc="35068278">
      <w:start w:val="1"/>
      <w:numFmt w:val="bullet"/>
      <w:lvlText w:val="•"/>
      <w:lvlJc w:val="left"/>
      <w:pPr>
        <w:tabs>
          <w:tab w:val="num" w:pos="1440"/>
        </w:tabs>
        <w:ind w:left="1440" w:hanging="360"/>
      </w:pPr>
      <w:rPr>
        <w:rFonts w:ascii="Arial" w:hAnsi="Arial" w:hint="default"/>
      </w:rPr>
    </w:lvl>
    <w:lvl w:ilvl="2" w:tplc="D924D2FE">
      <w:numFmt w:val="bullet"/>
      <w:lvlText w:val="•"/>
      <w:lvlJc w:val="left"/>
      <w:pPr>
        <w:tabs>
          <w:tab w:val="num" w:pos="2160"/>
        </w:tabs>
        <w:ind w:left="2160" w:hanging="360"/>
      </w:pPr>
      <w:rPr>
        <w:rFonts w:ascii="Arial" w:hAnsi="Arial" w:hint="default"/>
      </w:rPr>
    </w:lvl>
    <w:lvl w:ilvl="3" w:tplc="D7126440" w:tentative="1">
      <w:start w:val="1"/>
      <w:numFmt w:val="bullet"/>
      <w:lvlText w:val="•"/>
      <w:lvlJc w:val="left"/>
      <w:pPr>
        <w:tabs>
          <w:tab w:val="num" w:pos="2880"/>
        </w:tabs>
        <w:ind w:left="2880" w:hanging="360"/>
      </w:pPr>
      <w:rPr>
        <w:rFonts w:ascii="Arial" w:hAnsi="Arial" w:hint="default"/>
      </w:rPr>
    </w:lvl>
    <w:lvl w:ilvl="4" w:tplc="40A67346" w:tentative="1">
      <w:start w:val="1"/>
      <w:numFmt w:val="bullet"/>
      <w:lvlText w:val="•"/>
      <w:lvlJc w:val="left"/>
      <w:pPr>
        <w:tabs>
          <w:tab w:val="num" w:pos="3600"/>
        </w:tabs>
        <w:ind w:left="3600" w:hanging="360"/>
      </w:pPr>
      <w:rPr>
        <w:rFonts w:ascii="Arial" w:hAnsi="Arial" w:hint="default"/>
      </w:rPr>
    </w:lvl>
    <w:lvl w:ilvl="5" w:tplc="AA900784" w:tentative="1">
      <w:start w:val="1"/>
      <w:numFmt w:val="bullet"/>
      <w:lvlText w:val="•"/>
      <w:lvlJc w:val="left"/>
      <w:pPr>
        <w:tabs>
          <w:tab w:val="num" w:pos="4320"/>
        </w:tabs>
        <w:ind w:left="4320" w:hanging="360"/>
      </w:pPr>
      <w:rPr>
        <w:rFonts w:ascii="Arial" w:hAnsi="Arial" w:hint="default"/>
      </w:rPr>
    </w:lvl>
    <w:lvl w:ilvl="6" w:tplc="966E8A7C" w:tentative="1">
      <w:start w:val="1"/>
      <w:numFmt w:val="bullet"/>
      <w:lvlText w:val="•"/>
      <w:lvlJc w:val="left"/>
      <w:pPr>
        <w:tabs>
          <w:tab w:val="num" w:pos="5040"/>
        </w:tabs>
        <w:ind w:left="5040" w:hanging="360"/>
      </w:pPr>
      <w:rPr>
        <w:rFonts w:ascii="Arial" w:hAnsi="Arial" w:hint="default"/>
      </w:rPr>
    </w:lvl>
    <w:lvl w:ilvl="7" w:tplc="474481A6" w:tentative="1">
      <w:start w:val="1"/>
      <w:numFmt w:val="bullet"/>
      <w:lvlText w:val="•"/>
      <w:lvlJc w:val="left"/>
      <w:pPr>
        <w:tabs>
          <w:tab w:val="num" w:pos="5760"/>
        </w:tabs>
        <w:ind w:left="5760" w:hanging="360"/>
      </w:pPr>
      <w:rPr>
        <w:rFonts w:ascii="Arial" w:hAnsi="Arial" w:hint="default"/>
      </w:rPr>
    </w:lvl>
    <w:lvl w:ilvl="8" w:tplc="29EEF2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335E58"/>
    <w:multiLevelType w:val="hybridMultilevel"/>
    <w:tmpl w:val="60FC20BC"/>
    <w:lvl w:ilvl="0" w:tplc="2DCEA21A">
      <w:start w:val="1"/>
      <w:numFmt w:val="bullet"/>
      <w:lvlText w:val="•"/>
      <w:lvlJc w:val="left"/>
      <w:pPr>
        <w:tabs>
          <w:tab w:val="num" w:pos="720"/>
        </w:tabs>
        <w:ind w:left="720" w:hanging="360"/>
      </w:pPr>
      <w:rPr>
        <w:rFonts w:ascii="Arial" w:hAnsi="Arial" w:hint="default"/>
      </w:rPr>
    </w:lvl>
    <w:lvl w:ilvl="1" w:tplc="33A46D16">
      <w:numFmt w:val="bullet"/>
      <w:lvlText w:val="•"/>
      <w:lvlJc w:val="left"/>
      <w:pPr>
        <w:tabs>
          <w:tab w:val="num" w:pos="1440"/>
        </w:tabs>
        <w:ind w:left="1440" w:hanging="360"/>
      </w:pPr>
      <w:rPr>
        <w:rFonts w:ascii="Arial" w:hAnsi="Arial" w:hint="default"/>
      </w:rPr>
    </w:lvl>
    <w:lvl w:ilvl="2" w:tplc="4274AFA8" w:tentative="1">
      <w:start w:val="1"/>
      <w:numFmt w:val="bullet"/>
      <w:lvlText w:val="•"/>
      <w:lvlJc w:val="left"/>
      <w:pPr>
        <w:tabs>
          <w:tab w:val="num" w:pos="2160"/>
        </w:tabs>
        <w:ind w:left="2160" w:hanging="360"/>
      </w:pPr>
      <w:rPr>
        <w:rFonts w:ascii="Arial" w:hAnsi="Arial" w:hint="default"/>
      </w:rPr>
    </w:lvl>
    <w:lvl w:ilvl="3" w:tplc="3A2886B4" w:tentative="1">
      <w:start w:val="1"/>
      <w:numFmt w:val="bullet"/>
      <w:lvlText w:val="•"/>
      <w:lvlJc w:val="left"/>
      <w:pPr>
        <w:tabs>
          <w:tab w:val="num" w:pos="2880"/>
        </w:tabs>
        <w:ind w:left="2880" w:hanging="360"/>
      </w:pPr>
      <w:rPr>
        <w:rFonts w:ascii="Arial" w:hAnsi="Arial" w:hint="default"/>
      </w:rPr>
    </w:lvl>
    <w:lvl w:ilvl="4" w:tplc="380A38F4" w:tentative="1">
      <w:start w:val="1"/>
      <w:numFmt w:val="bullet"/>
      <w:lvlText w:val="•"/>
      <w:lvlJc w:val="left"/>
      <w:pPr>
        <w:tabs>
          <w:tab w:val="num" w:pos="3600"/>
        </w:tabs>
        <w:ind w:left="3600" w:hanging="360"/>
      </w:pPr>
      <w:rPr>
        <w:rFonts w:ascii="Arial" w:hAnsi="Arial" w:hint="default"/>
      </w:rPr>
    </w:lvl>
    <w:lvl w:ilvl="5" w:tplc="39F8355C" w:tentative="1">
      <w:start w:val="1"/>
      <w:numFmt w:val="bullet"/>
      <w:lvlText w:val="•"/>
      <w:lvlJc w:val="left"/>
      <w:pPr>
        <w:tabs>
          <w:tab w:val="num" w:pos="4320"/>
        </w:tabs>
        <w:ind w:left="4320" w:hanging="360"/>
      </w:pPr>
      <w:rPr>
        <w:rFonts w:ascii="Arial" w:hAnsi="Arial" w:hint="default"/>
      </w:rPr>
    </w:lvl>
    <w:lvl w:ilvl="6" w:tplc="6A60712C" w:tentative="1">
      <w:start w:val="1"/>
      <w:numFmt w:val="bullet"/>
      <w:lvlText w:val="•"/>
      <w:lvlJc w:val="left"/>
      <w:pPr>
        <w:tabs>
          <w:tab w:val="num" w:pos="5040"/>
        </w:tabs>
        <w:ind w:left="5040" w:hanging="360"/>
      </w:pPr>
      <w:rPr>
        <w:rFonts w:ascii="Arial" w:hAnsi="Arial" w:hint="default"/>
      </w:rPr>
    </w:lvl>
    <w:lvl w:ilvl="7" w:tplc="2918066A" w:tentative="1">
      <w:start w:val="1"/>
      <w:numFmt w:val="bullet"/>
      <w:lvlText w:val="•"/>
      <w:lvlJc w:val="left"/>
      <w:pPr>
        <w:tabs>
          <w:tab w:val="num" w:pos="5760"/>
        </w:tabs>
        <w:ind w:left="5760" w:hanging="360"/>
      </w:pPr>
      <w:rPr>
        <w:rFonts w:ascii="Arial" w:hAnsi="Arial" w:hint="default"/>
      </w:rPr>
    </w:lvl>
    <w:lvl w:ilvl="8" w:tplc="8ED85B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C67276"/>
    <w:multiLevelType w:val="hybridMultilevel"/>
    <w:tmpl w:val="B790A854"/>
    <w:lvl w:ilvl="0" w:tplc="46303400">
      <w:start w:val="1"/>
      <w:numFmt w:val="bullet"/>
      <w:lvlText w:val="•"/>
      <w:lvlJc w:val="left"/>
      <w:pPr>
        <w:tabs>
          <w:tab w:val="num" w:pos="720"/>
        </w:tabs>
        <w:ind w:left="720" w:hanging="360"/>
      </w:pPr>
      <w:rPr>
        <w:rFonts w:ascii="Arial" w:hAnsi="Arial" w:hint="default"/>
      </w:rPr>
    </w:lvl>
    <w:lvl w:ilvl="1" w:tplc="32927EBE" w:tentative="1">
      <w:start w:val="1"/>
      <w:numFmt w:val="bullet"/>
      <w:lvlText w:val="•"/>
      <w:lvlJc w:val="left"/>
      <w:pPr>
        <w:tabs>
          <w:tab w:val="num" w:pos="1440"/>
        </w:tabs>
        <w:ind w:left="1440" w:hanging="360"/>
      </w:pPr>
      <w:rPr>
        <w:rFonts w:ascii="Arial" w:hAnsi="Arial" w:hint="default"/>
      </w:rPr>
    </w:lvl>
    <w:lvl w:ilvl="2" w:tplc="B1522F84" w:tentative="1">
      <w:start w:val="1"/>
      <w:numFmt w:val="bullet"/>
      <w:lvlText w:val="•"/>
      <w:lvlJc w:val="left"/>
      <w:pPr>
        <w:tabs>
          <w:tab w:val="num" w:pos="2160"/>
        </w:tabs>
        <w:ind w:left="2160" w:hanging="360"/>
      </w:pPr>
      <w:rPr>
        <w:rFonts w:ascii="Arial" w:hAnsi="Arial" w:hint="default"/>
      </w:rPr>
    </w:lvl>
    <w:lvl w:ilvl="3" w:tplc="48B23C58" w:tentative="1">
      <w:start w:val="1"/>
      <w:numFmt w:val="bullet"/>
      <w:lvlText w:val="•"/>
      <w:lvlJc w:val="left"/>
      <w:pPr>
        <w:tabs>
          <w:tab w:val="num" w:pos="2880"/>
        </w:tabs>
        <w:ind w:left="2880" w:hanging="360"/>
      </w:pPr>
      <w:rPr>
        <w:rFonts w:ascii="Arial" w:hAnsi="Arial" w:hint="default"/>
      </w:rPr>
    </w:lvl>
    <w:lvl w:ilvl="4" w:tplc="720A6D06" w:tentative="1">
      <w:start w:val="1"/>
      <w:numFmt w:val="bullet"/>
      <w:lvlText w:val="•"/>
      <w:lvlJc w:val="left"/>
      <w:pPr>
        <w:tabs>
          <w:tab w:val="num" w:pos="3600"/>
        </w:tabs>
        <w:ind w:left="3600" w:hanging="360"/>
      </w:pPr>
      <w:rPr>
        <w:rFonts w:ascii="Arial" w:hAnsi="Arial" w:hint="default"/>
      </w:rPr>
    </w:lvl>
    <w:lvl w:ilvl="5" w:tplc="05CCAEAE" w:tentative="1">
      <w:start w:val="1"/>
      <w:numFmt w:val="bullet"/>
      <w:lvlText w:val="•"/>
      <w:lvlJc w:val="left"/>
      <w:pPr>
        <w:tabs>
          <w:tab w:val="num" w:pos="4320"/>
        </w:tabs>
        <w:ind w:left="4320" w:hanging="360"/>
      </w:pPr>
      <w:rPr>
        <w:rFonts w:ascii="Arial" w:hAnsi="Arial" w:hint="default"/>
      </w:rPr>
    </w:lvl>
    <w:lvl w:ilvl="6" w:tplc="EA7C4D04" w:tentative="1">
      <w:start w:val="1"/>
      <w:numFmt w:val="bullet"/>
      <w:lvlText w:val="•"/>
      <w:lvlJc w:val="left"/>
      <w:pPr>
        <w:tabs>
          <w:tab w:val="num" w:pos="5040"/>
        </w:tabs>
        <w:ind w:left="5040" w:hanging="360"/>
      </w:pPr>
      <w:rPr>
        <w:rFonts w:ascii="Arial" w:hAnsi="Arial" w:hint="default"/>
      </w:rPr>
    </w:lvl>
    <w:lvl w:ilvl="7" w:tplc="01E64A86" w:tentative="1">
      <w:start w:val="1"/>
      <w:numFmt w:val="bullet"/>
      <w:lvlText w:val="•"/>
      <w:lvlJc w:val="left"/>
      <w:pPr>
        <w:tabs>
          <w:tab w:val="num" w:pos="5760"/>
        </w:tabs>
        <w:ind w:left="5760" w:hanging="360"/>
      </w:pPr>
      <w:rPr>
        <w:rFonts w:ascii="Arial" w:hAnsi="Arial" w:hint="default"/>
      </w:rPr>
    </w:lvl>
    <w:lvl w:ilvl="8" w:tplc="4934B3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94843F4"/>
    <w:multiLevelType w:val="hybridMultilevel"/>
    <w:tmpl w:val="B4F4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FF3991"/>
    <w:multiLevelType w:val="hybridMultilevel"/>
    <w:tmpl w:val="6C00A3F8"/>
    <w:lvl w:ilvl="0" w:tplc="FA24FBC6">
      <w:start w:val="1"/>
      <w:numFmt w:val="bullet"/>
      <w:lvlText w:val="•"/>
      <w:lvlJc w:val="left"/>
      <w:pPr>
        <w:tabs>
          <w:tab w:val="num" w:pos="720"/>
        </w:tabs>
        <w:ind w:left="720" w:hanging="360"/>
      </w:pPr>
      <w:rPr>
        <w:rFonts w:ascii="Arial" w:hAnsi="Arial" w:hint="default"/>
      </w:rPr>
    </w:lvl>
    <w:lvl w:ilvl="1" w:tplc="9B127C04" w:tentative="1">
      <w:start w:val="1"/>
      <w:numFmt w:val="bullet"/>
      <w:lvlText w:val="•"/>
      <w:lvlJc w:val="left"/>
      <w:pPr>
        <w:tabs>
          <w:tab w:val="num" w:pos="1440"/>
        </w:tabs>
        <w:ind w:left="1440" w:hanging="360"/>
      </w:pPr>
      <w:rPr>
        <w:rFonts w:ascii="Arial" w:hAnsi="Arial" w:hint="default"/>
      </w:rPr>
    </w:lvl>
    <w:lvl w:ilvl="2" w:tplc="38AA49A0">
      <w:start w:val="1"/>
      <w:numFmt w:val="bullet"/>
      <w:lvlText w:val="•"/>
      <w:lvlJc w:val="left"/>
      <w:pPr>
        <w:tabs>
          <w:tab w:val="num" w:pos="2160"/>
        </w:tabs>
        <w:ind w:left="2160" w:hanging="360"/>
      </w:pPr>
      <w:rPr>
        <w:rFonts w:ascii="Arial" w:hAnsi="Arial" w:hint="default"/>
      </w:rPr>
    </w:lvl>
    <w:lvl w:ilvl="3" w:tplc="E2F6861A" w:tentative="1">
      <w:start w:val="1"/>
      <w:numFmt w:val="bullet"/>
      <w:lvlText w:val="•"/>
      <w:lvlJc w:val="left"/>
      <w:pPr>
        <w:tabs>
          <w:tab w:val="num" w:pos="2880"/>
        </w:tabs>
        <w:ind w:left="2880" w:hanging="360"/>
      </w:pPr>
      <w:rPr>
        <w:rFonts w:ascii="Arial" w:hAnsi="Arial" w:hint="default"/>
      </w:rPr>
    </w:lvl>
    <w:lvl w:ilvl="4" w:tplc="2AC65E44" w:tentative="1">
      <w:start w:val="1"/>
      <w:numFmt w:val="bullet"/>
      <w:lvlText w:val="•"/>
      <w:lvlJc w:val="left"/>
      <w:pPr>
        <w:tabs>
          <w:tab w:val="num" w:pos="3600"/>
        </w:tabs>
        <w:ind w:left="3600" w:hanging="360"/>
      </w:pPr>
      <w:rPr>
        <w:rFonts w:ascii="Arial" w:hAnsi="Arial" w:hint="default"/>
      </w:rPr>
    </w:lvl>
    <w:lvl w:ilvl="5" w:tplc="B6509CBA" w:tentative="1">
      <w:start w:val="1"/>
      <w:numFmt w:val="bullet"/>
      <w:lvlText w:val="•"/>
      <w:lvlJc w:val="left"/>
      <w:pPr>
        <w:tabs>
          <w:tab w:val="num" w:pos="4320"/>
        </w:tabs>
        <w:ind w:left="4320" w:hanging="360"/>
      </w:pPr>
      <w:rPr>
        <w:rFonts w:ascii="Arial" w:hAnsi="Arial" w:hint="default"/>
      </w:rPr>
    </w:lvl>
    <w:lvl w:ilvl="6" w:tplc="F75C16D8" w:tentative="1">
      <w:start w:val="1"/>
      <w:numFmt w:val="bullet"/>
      <w:lvlText w:val="•"/>
      <w:lvlJc w:val="left"/>
      <w:pPr>
        <w:tabs>
          <w:tab w:val="num" w:pos="5040"/>
        </w:tabs>
        <w:ind w:left="5040" w:hanging="360"/>
      </w:pPr>
      <w:rPr>
        <w:rFonts w:ascii="Arial" w:hAnsi="Arial" w:hint="default"/>
      </w:rPr>
    </w:lvl>
    <w:lvl w:ilvl="7" w:tplc="A574FA7E" w:tentative="1">
      <w:start w:val="1"/>
      <w:numFmt w:val="bullet"/>
      <w:lvlText w:val="•"/>
      <w:lvlJc w:val="left"/>
      <w:pPr>
        <w:tabs>
          <w:tab w:val="num" w:pos="5760"/>
        </w:tabs>
        <w:ind w:left="5760" w:hanging="360"/>
      </w:pPr>
      <w:rPr>
        <w:rFonts w:ascii="Arial" w:hAnsi="Arial" w:hint="default"/>
      </w:rPr>
    </w:lvl>
    <w:lvl w:ilvl="8" w:tplc="769C9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3"/>
  </w:num>
  <w:num w:numId="5">
    <w:abstractNumId w:val="15"/>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18"/>
  </w:num>
  <w:num w:numId="16">
    <w:abstractNumId w:val="1"/>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num>
  <w:num w:numId="22">
    <w:abstractNumId w:val="7"/>
  </w:num>
  <w:num w:numId="23">
    <w:abstractNumId w:val="6"/>
  </w:num>
  <w:num w:numId="24">
    <w:abstractNumId w:val="16"/>
  </w:num>
  <w:num w:numId="25">
    <w:abstractNumId w:val="2"/>
  </w:num>
  <w:num w:numId="26">
    <w:abstractNumId w:val="17"/>
  </w:num>
  <w:num w:numId="27">
    <w:abstractNumId w:val="14"/>
  </w:num>
  <w:num w:numId="28">
    <w:abstractNumId w:val="11"/>
    <w:lvlOverride w:ilvl="0">
      <w:startOverride w:val="1"/>
    </w:lvlOverride>
  </w:num>
  <w:num w:numId="29">
    <w:abstractNumId w:val="4"/>
  </w:num>
  <w:num w:numId="30">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A0505"/>
    <w:rsid w:val="000B0056"/>
    <w:rsid w:val="000B2494"/>
    <w:rsid w:val="00133FE4"/>
    <w:rsid w:val="00171587"/>
    <w:rsid w:val="001745F8"/>
    <w:rsid w:val="001838CF"/>
    <w:rsid w:val="001A3BA4"/>
    <w:rsid w:val="001E30F6"/>
    <w:rsid w:val="0020301C"/>
    <w:rsid w:val="00235F5C"/>
    <w:rsid w:val="002B4922"/>
    <w:rsid w:val="002C2D19"/>
    <w:rsid w:val="002D10FA"/>
    <w:rsid w:val="002D4C55"/>
    <w:rsid w:val="0036054B"/>
    <w:rsid w:val="00361532"/>
    <w:rsid w:val="00393F52"/>
    <w:rsid w:val="003B659E"/>
    <w:rsid w:val="003D0413"/>
    <w:rsid w:val="00400260"/>
    <w:rsid w:val="0040691D"/>
    <w:rsid w:val="0041400E"/>
    <w:rsid w:val="004266EC"/>
    <w:rsid w:val="00435474"/>
    <w:rsid w:val="0043750A"/>
    <w:rsid w:val="004611F8"/>
    <w:rsid w:val="004E5E66"/>
    <w:rsid w:val="00502229"/>
    <w:rsid w:val="00503B4D"/>
    <w:rsid w:val="00504EE9"/>
    <w:rsid w:val="0054442C"/>
    <w:rsid w:val="00550285"/>
    <w:rsid w:val="00551789"/>
    <w:rsid w:val="005836F8"/>
    <w:rsid w:val="005918FA"/>
    <w:rsid w:val="005E61A8"/>
    <w:rsid w:val="005F6419"/>
    <w:rsid w:val="006056B3"/>
    <w:rsid w:val="00617400"/>
    <w:rsid w:val="00644F8C"/>
    <w:rsid w:val="00664950"/>
    <w:rsid w:val="00671C0C"/>
    <w:rsid w:val="00683220"/>
    <w:rsid w:val="00687FA0"/>
    <w:rsid w:val="006B7010"/>
    <w:rsid w:val="006F5A07"/>
    <w:rsid w:val="007145FF"/>
    <w:rsid w:val="00751515"/>
    <w:rsid w:val="00785232"/>
    <w:rsid w:val="00787AD4"/>
    <w:rsid w:val="007C3ED0"/>
    <w:rsid w:val="007E0A5A"/>
    <w:rsid w:val="007F0D92"/>
    <w:rsid w:val="00804F01"/>
    <w:rsid w:val="00806A76"/>
    <w:rsid w:val="00811C9D"/>
    <w:rsid w:val="008165E9"/>
    <w:rsid w:val="00816C80"/>
    <w:rsid w:val="00841BCD"/>
    <w:rsid w:val="00851A8E"/>
    <w:rsid w:val="00872224"/>
    <w:rsid w:val="00876856"/>
    <w:rsid w:val="008826C1"/>
    <w:rsid w:val="008A0738"/>
    <w:rsid w:val="008E53C3"/>
    <w:rsid w:val="0090091A"/>
    <w:rsid w:val="009042BD"/>
    <w:rsid w:val="009729F2"/>
    <w:rsid w:val="00974371"/>
    <w:rsid w:val="009743E0"/>
    <w:rsid w:val="00977E1D"/>
    <w:rsid w:val="009C04E9"/>
    <w:rsid w:val="009C0F5E"/>
    <w:rsid w:val="009F0C19"/>
    <w:rsid w:val="009F7342"/>
    <w:rsid w:val="00A0766A"/>
    <w:rsid w:val="00A22B78"/>
    <w:rsid w:val="00A25AE5"/>
    <w:rsid w:val="00A37002"/>
    <w:rsid w:val="00A671B5"/>
    <w:rsid w:val="00AA1B0E"/>
    <w:rsid w:val="00AA30EE"/>
    <w:rsid w:val="00AC5CA7"/>
    <w:rsid w:val="00AD5346"/>
    <w:rsid w:val="00AE56B1"/>
    <w:rsid w:val="00B41678"/>
    <w:rsid w:val="00B533CA"/>
    <w:rsid w:val="00B63333"/>
    <w:rsid w:val="00B73862"/>
    <w:rsid w:val="00BA6E48"/>
    <w:rsid w:val="00BB4169"/>
    <w:rsid w:val="00BD075F"/>
    <w:rsid w:val="00BF2218"/>
    <w:rsid w:val="00C220CC"/>
    <w:rsid w:val="00C2314D"/>
    <w:rsid w:val="00C41A59"/>
    <w:rsid w:val="00C61DBC"/>
    <w:rsid w:val="00C77AB7"/>
    <w:rsid w:val="00CD7492"/>
    <w:rsid w:val="00CE3A6B"/>
    <w:rsid w:val="00D00211"/>
    <w:rsid w:val="00D06309"/>
    <w:rsid w:val="00D351EA"/>
    <w:rsid w:val="00D43403"/>
    <w:rsid w:val="00D62E71"/>
    <w:rsid w:val="00D740CA"/>
    <w:rsid w:val="00D85728"/>
    <w:rsid w:val="00DB4EF3"/>
    <w:rsid w:val="00DD664F"/>
    <w:rsid w:val="00DD72ED"/>
    <w:rsid w:val="00DF2997"/>
    <w:rsid w:val="00E43A78"/>
    <w:rsid w:val="00EC7BC3"/>
    <w:rsid w:val="00ED7600"/>
    <w:rsid w:val="00EF2A43"/>
    <w:rsid w:val="00EF3F70"/>
    <w:rsid w:val="00F01C8F"/>
    <w:rsid w:val="00F1362C"/>
    <w:rsid w:val="00F25F89"/>
    <w:rsid w:val="00F27E31"/>
    <w:rsid w:val="00F50224"/>
    <w:rsid w:val="00F82070"/>
    <w:rsid w:val="00F824F5"/>
    <w:rsid w:val="00F84CDA"/>
    <w:rsid w:val="00F86C2D"/>
    <w:rsid w:val="00F86EB1"/>
    <w:rsid w:val="00FB145E"/>
    <w:rsid w:val="00FB5231"/>
    <w:rsid w:val="00FB743C"/>
    <w:rsid w:val="00FC29B9"/>
    <w:rsid w:val="00FC6FD3"/>
    <w:rsid w:val="00FC78DD"/>
    <w:rsid w:val="00FD187D"/>
    <w:rsid w:val="00FE72B2"/>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4D1C9"/>
  <w15:chartTrackingRefBased/>
  <w15:docId w15:val="{B91F1A35-CA21-437B-B813-2FB4C21CD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8165E9"/>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20301C"/>
    <w:rPr>
      <w:sz w:val="16"/>
      <w:szCs w:val="16"/>
    </w:rPr>
  </w:style>
  <w:style w:type="paragraph" w:styleId="CommentText">
    <w:name w:val="annotation text"/>
    <w:basedOn w:val="Normal"/>
    <w:link w:val="CommentTextChar"/>
    <w:uiPriority w:val="99"/>
    <w:semiHidden/>
    <w:unhideWhenUsed/>
    <w:rsid w:val="0020301C"/>
    <w:pPr>
      <w:spacing w:line="240" w:lineRule="auto"/>
    </w:pPr>
    <w:rPr>
      <w:szCs w:val="20"/>
    </w:rPr>
  </w:style>
  <w:style w:type="character" w:customStyle="1" w:styleId="CommentTextChar">
    <w:name w:val="Comment Text Char"/>
    <w:basedOn w:val="DefaultParagraphFont"/>
    <w:link w:val="CommentText"/>
    <w:uiPriority w:val="99"/>
    <w:semiHidden/>
    <w:rsid w:val="00203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301C"/>
    <w:rPr>
      <w:b/>
      <w:bCs/>
    </w:rPr>
  </w:style>
  <w:style w:type="character" w:customStyle="1" w:styleId="CommentSubjectChar">
    <w:name w:val="Comment Subject Char"/>
    <w:basedOn w:val="CommentTextChar"/>
    <w:link w:val="CommentSubject"/>
    <w:uiPriority w:val="99"/>
    <w:semiHidden/>
    <w:rsid w:val="0020301C"/>
    <w:rPr>
      <w:rFonts w:ascii="Times New Roman" w:hAnsi="Times New Roman"/>
      <w:b/>
      <w:bCs/>
      <w:sz w:val="20"/>
      <w:szCs w:val="20"/>
    </w:rPr>
  </w:style>
  <w:style w:type="paragraph" w:styleId="BalloonText">
    <w:name w:val="Balloon Text"/>
    <w:basedOn w:val="Normal"/>
    <w:link w:val="BalloonTextChar"/>
    <w:uiPriority w:val="99"/>
    <w:semiHidden/>
    <w:unhideWhenUsed/>
    <w:rsid w:val="002030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0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749">
      <w:bodyDiv w:val="1"/>
      <w:marLeft w:val="0"/>
      <w:marRight w:val="0"/>
      <w:marTop w:val="0"/>
      <w:marBottom w:val="0"/>
      <w:divBdr>
        <w:top w:val="none" w:sz="0" w:space="0" w:color="auto"/>
        <w:left w:val="none" w:sz="0" w:space="0" w:color="auto"/>
        <w:bottom w:val="none" w:sz="0" w:space="0" w:color="auto"/>
        <w:right w:val="none" w:sz="0" w:space="0" w:color="auto"/>
      </w:divBdr>
    </w:div>
    <w:div w:id="505443600">
      <w:bodyDiv w:val="1"/>
      <w:marLeft w:val="0"/>
      <w:marRight w:val="0"/>
      <w:marTop w:val="0"/>
      <w:marBottom w:val="0"/>
      <w:divBdr>
        <w:top w:val="none" w:sz="0" w:space="0" w:color="auto"/>
        <w:left w:val="none" w:sz="0" w:space="0" w:color="auto"/>
        <w:bottom w:val="none" w:sz="0" w:space="0" w:color="auto"/>
        <w:right w:val="none" w:sz="0" w:space="0" w:color="auto"/>
      </w:divBdr>
      <w:divsChild>
        <w:div w:id="597641001">
          <w:marLeft w:val="360"/>
          <w:marRight w:val="0"/>
          <w:marTop w:val="200"/>
          <w:marBottom w:val="0"/>
          <w:divBdr>
            <w:top w:val="none" w:sz="0" w:space="0" w:color="auto"/>
            <w:left w:val="none" w:sz="0" w:space="0" w:color="auto"/>
            <w:bottom w:val="none" w:sz="0" w:space="0" w:color="auto"/>
            <w:right w:val="none" w:sz="0" w:space="0" w:color="auto"/>
          </w:divBdr>
        </w:div>
        <w:div w:id="1892381696">
          <w:marLeft w:val="360"/>
          <w:marRight w:val="0"/>
          <w:marTop w:val="200"/>
          <w:marBottom w:val="0"/>
          <w:divBdr>
            <w:top w:val="none" w:sz="0" w:space="0" w:color="auto"/>
            <w:left w:val="none" w:sz="0" w:space="0" w:color="auto"/>
            <w:bottom w:val="none" w:sz="0" w:space="0" w:color="auto"/>
            <w:right w:val="none" w:sz="0" w:space="0" w:color="auto"/>
          </w:divBdr>
        </w:div>
      </w:divsChild>
    </w:div>
    <w:div w:id="508371864">
      <w:bodyDiv w:val="1"/>
      <w:marLeft w:val="0"/>
      <w:marRight w:val="0"/>
      <w:marTop w:val="0"/>
      <w:marBottom w:val="0"/>
      <w:divBdr>
        <w:top w:val="none" w:sz="0" w:space="0" w:color="auto"/>
        <w:left w:val="none" w:sz="0" w:space="0" w:color="auto"/>
        <w:bottom w:val="none" w:sz="0" w:space="0" w:color="auto"/>
        <w:right w:val="none" w:sz="0" w:space="0" w:color="auto"/>
      </w:divBdr>
    </w:div>
    <w:div w:id="628584595">
      <w:bodyDiv w:val="1"/>
      <w:marLeft w:val="0"/>
      <w:marRight w:val="0"/>
      <w:marTop w:val="0"/>
      <w:marBottom w:val="0"/>
      <w:divBdr>
        <w:top w:val="none" w:sz="0" w:space="0" w:color="auto"/>
        <w:left w:val="none" w:sz="0" w:space="0" w:color="auto"/>
        <w:bottom w:val="none" w:sz="0" w:space="0" w:color="auto"/>
        <w:right w:val="none" w:sz="0" w:space="0" w:color="auto"/>
      </w:divBdr>
    </w:div>
    <w:div w:id="954944136">
      <w:bodyDiv w:val="1"/>
      <w:marLeft w:val="0"/>
      <w:marRight w:val="0"/>
      <w:marTop w:val="0"/>
      <w:marBottom w:val="0"/>
      <w:divBdr>
        <w:top w:val="none" w:sz="0" w:space="0" w:color="auto"/>
        <w:left w:val="none" w:sz="0" w:space="0" w:color="auto"/>
        <w:bottom w:val="none" w:sz="0" w:space="0" w:color="auto"/>
        <w:right w:val="none" w:sz="0" w:space="0" w:color="auto"/>
      </w:divBdr>
    </w:div>
    <w:div w:id="1272200915">
      <w:bodyDiv w:val="1"/>
      <w:marLeft w:val="0"/>
      <w:marRight w:val="0"/>
      <w:marTop w:val="0"/>
      <w:marBottom w:val="0"/>
      <w:divBdr>
        <w:top w:val="none" w:sz="0" w:space="0" w:color="auto"/>
        <w:left w:val="none" w:sz="0" w:space="0" w:color="auto"/>
        <w:bottom w:val="none" w:sz="0" w:space="0" w:color="auto"/>
        <w:right w:val="none" w:sz="0" w:space="0" w:color="auto"/>
      </w:divBdr>
      <w:divsChild>
        <w:div w:id="61223634">
          <w:marLeft w:val="1800"/>
          <w:marRight w:val="0"/>
          <w:marTop w:val="100"/>
          <w:marBottom w:val="0"/>
          <w:divBdr>
            <w:top w:val="none" w:sz="0" w:space="0" w:color="auto"/>
            <w:left w:val="none" w:sz="0" w:space="0" w:color="auto"/>
            <w:bottom w:val="none" w:sz="0" w:space="0" w:color="auto"/>
            <w:right w:val="none" w:sz="0" w:space="0" w:color="auto"/>
          </w:divBdr>
        </w:div>
        <w:div w:id="488636855">
          <w:marLeft w:val="1800"/>
          <w:marRight w:val="0"/>
          <w:marTop w:val="100"/>
          <w:marBottom w:val="0"/>
          <w:divBdr>
            <w:top w:val="none" w:sz="0" w:space="0" w:color="auto"/>
            <w:left w:val="none" w:sz="0" w:space="0" w:color="auto"/>
            <w:bottom w:val="none" w:sz="0" w:space="0" w:color="auto"/>
            <w:right w:val="none" w:sz="0" w:space="0" w:color="auto"/>
          </w:divBdr>
        </w:div>
        <w:div w:id="791479511">
          <w:marLeft w:val="1800"/>
          <w:marRight w:val="0"/>
          <w:marTop w:val="100"/>
          <w:marBottom w:val="0"/>
          <w:divBdr>
            <w:top w:val="none" w:sz="0" w:space="0" w:color="auto"/>
            <w:left w:val="none" w:sz="0" w:space="0" w:color="auto"/>
            <w:bottom w:val="none" w:sz="0" w:space="0" w:color="auto"/>
            <w:right w:val="none" w:sz="0" w:space="0" w:color="auto"/>
          </w:divBdr>
        </w:div>
        <w:div w:id="893194360">
          <w:marLeft w:val="1080"/>
          <w:marRight w:val="0"/>
          <w:marTop w:val="100"/>
          <w:marBottom w:val="0"/>
          <w:divBdr>
            <w:top w:val="none" w:sz="0" w:space="0" w:color="auto"/>
            <w:left w:val="none" w:sz="0" w:space="0" w:color="auto"/>
            <w:bottom w:val="none" w:sz="0" w:space="0" w:color="auto"/>
            <w:right w:val="none" w:sz="0" w:space="0" w:color="auto"/>
          </w:divBdr>
        </w:div>
        <w:div w:id="909269854">
          <w:marLeft w:val="1080"/>
          <w:marRight w:val="0"/>
          <w:marTop w:val="100"/>
          <w:marBottom w:val="0"/>
          <w:divBdr>
            <w:top w:val="none" w:sz="0" w:space="0" w:color="auto"/>
            <w:left w:val="none" w:sz="0" w:space="0" w:color="auto"/>
            <w:bottom w:val="none" w:sz="0" w:space="0" w:color="auto"/>
            <w:right w:val="none" w:sz="0" w:space="0" w:color="auto"/>
          </w:divBdr>
        </w:div>
        <w:div w:id="1016274794">
          <w:marLeft w:val="1080"/>
          <w:marRight w:val="0"/>
          <w:marTop w:val="100"/>
          <w:marBottom w:val="0"/>
          <w:divBdr>
            <w:top w:val="none" w:sz="0" w:space="0" w:color="auto"/>
            <w:left w:val="none" w:sz="0" w:space="0" w:color="auto"/>
            <w:bottom w:val="none" w:sz="0" w:space="0" w:color="auto"/>
            <w:right w:val="none" w:sz="0" w:space="0" w:color="auto"/>
          </w:divBdr>
        </w:div>
        <w:div w:id="1118988031">
          <w:marLeft w:val="1800"/>
          <w:marRight w:val="0"/>
          <w:marTop w:val="100"/>
          <w:marBottom w:val="0"/>
          <w:divBdr>
            <w:top w:val="none" w:sz="0" w:space="0" w:color="auto"/>
            <w:left w:val="none" w:sz="0" w:space="0" w:color="auto"/>
            <w:bottom w:val="none" w:sz="0" w:space="0" w:color="auto"/>
            <w:right w:val="none" w:sz="0" w:space="0" w:color="auto"/>
          </w:divBdr>
        </w:div>
        <w:div w:id="1390037333">
          <w:marLeft w:val="1800"/>
          <w:marRight w:val="0"/>
          <w:marTop w:val="100"/>
          <w:marBottom w:val="0"/>
          <w:divBdr>
            <w:top w:val="none" w:sz="0" w:space="0" w:color="auto"/>
            <w:left w:val="none" w:sz="0" w:space="0" w:color="auto"/>
            <w:bottom w:val="none" w:sz="0" w:space="0" w:color="auto"/>
            <w:right w:val="none" w:sz="0" w:space="0" w:color="auto"/>
          </w:divBdr>
        </w:div>
        <w:div w:id="1472946213">
          <w:marLeft w:val="1800"/>
          <w:marRight w:val="0"/>
          <w:marTop w:val="100"/>
          <w:marBottom w:val="0"/>
          <w:divBdr>
            <w:top w:val="none" w:sz="0" w:space="0" w:color="auto"/>
            <w:left w:val="none" w:sz="0" w:space="0" w:color="auto"/>
            <w:bottom w:val="none" w:sz="0" w:space="0" w:color="auto"/>
            <w:right w:val="none" w:sz="0" w:space="0" w:color="auto"/>
          </w:divBdr>
        </w:div>
        <w:div w:id="1566405049">
          <w:marLeft w:val="1800"/>
          <w:marRight w:val="0"/>
          <w:marTop w:val="100"/>
          <w:marBottom w:val="0"/>
          <w:divBdr>
            <w:top w:val="none" w:sz="0" w:space="0" w:color="auto"/>
            <w:left w:val="none" w:sz="0" w:space="0" w:color="auto"/>
            <w:bottom w:val="none" w:sz="0" w:space="0" w:color="auto"/>
            <w:right w:val="none" w:sz="0" w:space="0" w:color="auto"/>
          </w:divBdr>
        </w:div>
        <w:div w:id="1946425587">
          <w:marLeft w:val="1080"/>
          <w:marRight w:val="0"/>
          <w:marTop w:val="100"/>
          <w:marBottom w:val="0"/>
          <w:divBdr>
            <w:top w:val="none" w:sz="0" w:space="0" w:color="auto"/>
            <w:left w:val="none" w:sz="0" w:space="0" w:color="auto"/>
            <w:bottom w:val="none" w:sz="0" w:space="0" w:color="auto"/>
            <w:right w:val="none" w:sz="0" w:space="0" w:color="auto"/>
          </w:divBdr>
        </w:div>
      </w:divsChild>
    </w:div>
    <w:div w:id="1428841789">
      <w:bodyDiv w:val="1"/>
      <w:marLeft w:val="0"/>
      <w:marRight w:val="0"/>
      <w:marTop w:val="0"/>
      <w:marBottom w:val="0"/>
      <w:divBdr>
        <w:top w:val="none" w:sz="0" w:space="0" w:color="auto"/>
        <w:left w:val="none" w:sz="0" w:space="0" w:color="auto"/>
        <w:bottom w:val="none" w:sz="0" w:space="0" w:color="auto"/>
        <w:right w:val="none" w:sz="0" w:space="0" w:color="auto"/>
      </w:divBdr>
      <w:divsChild>
        <w:div w:id="582884606">
          <w:marLeft w:val="1080"/>
          <w:marRight w:val="0"/>
          <w:marTop w:val="100"/>
          <w:marBottom w:val="0"/>
          <w:divBdr>
            <w:top w:val="none" w:sz="0" w:space="0" w:color="auto"/>
            <w:left w:val="none" w:sz="0" w:space="0" w:color="auto"/>
            <w:bottom w:val="none" w:sz="0" w:space="0" w:color="auto"/>
            <w:right w:val="none" w:sz="0" w:space="0" w:color="auto"/>
          </w:divBdr>
        </w:div>
        <w:div w:id="638000338">
          <w:marLeft w:val="1080"/>
          <w:marRight w:val="0"/>
          <w:marTop w:val="100"/>
          <w:marBottom w:val="0"/>
          <w:divBdr>
            <w:top w:val="none" w:sz="0" w:space="0" w:color="auto"/>
            <w:left w:val="none" w:sz="0" w:space="0" w:color="auto"/>
            <w:bottom w:val="none" w:sz="0" w:space="0" w:color="auto"/>
            <w:right w:val="none" w:sz="0" w:space="0" w:color="auto"/>
          </w:divBdr>
        </w:div>
        <w:div w:id="645672847">
          <w:marLeft w:val="360"/>
          <w:marRight w:val="0"/>
          <w:marTop w:val="200"/>
          <w:marBottom w:val="0"/>
          <w:divBdr>
            <w:top w:val="none" w:sz="0" w:space="0" w:color="auto"/>
            <w:left w:val="none" w:sz="0" w:space="0" w:color="auto"/>
            <w:bottom w:val="none" w:sz="0" w:space="0" w:color="auto"/>
            <w:right w:val="none" w:sz="0" w:space="0" w:color="auto"/>
          </w:divBdr>
        </w:div>
        <w:div w:id="690881203">
          <w:marLeft w:val="1080"/>
          <w:marRight w:val="0"/>
          <w:marTop w:val="100"/>
          <w:marBottom w:val="0"/>
          <w:divBdr>
            <w:top w:val="none" w:sz="0" w:space="0" w:color="auto"/>
            <w:left w:val="none" w:sz="0" w:space="0" w:color="auto"/>
            <w:bottom w:val="none" w:sz="0" w:space="0" w:color="auto"/>
            <w:right w:val="none" w:sz="0" w:space="0" w:color="auto"/>
          </w:divBdr>
        </w:div>
        <w:div w:id="1052659179">
          <w:marLeft w:val="1080"/>
          <w:marRight w:val="0"/>
          <w:marTop w:val="100"/>
          <w:marBottom w:val="0"/>
          <w:divBdr>
            <w:top w:val="none" w:sz="0" w:space="0" w:color="auto"/>
            <w:left w:val="none" w:sz="0" w:space="0" w:color="auto"/>
            <w:bottom w:val="none" w:sz="0" w:space="0" w:color="auto"/>
            <w:right w:val="none" w:sz="0" w:space="0" w:color="auto"/>
          </w:divBdr>
        </w:div>
        <w:div w:id="1090934080">
          <w:marLeft w:val="360"/>
          <w:marRight w:val="0"/>
          <w:marTop w:val="200"/>
          <w:marBottom w:val="0"/>
          <w:divBdr>
            <w:top w:val="none" w:sz="0" w:space="0" w:color="auto"/>
            <w:left w:val="none" w:sz="0" w:space="0" w:color="auto"/>
            <w:bottom w:val="none" w:sz="0" w:space="0" w:color="auto"/>
            <w:right w:val="none" w:sz="0" w:space="0" w:color="auto"/>
          </w:divBdr>
        </w:div>
        <w:div w:id="1283154625">
          <w:marLeft w:val="360"/>
          <w:marRight w:val="0"/>
          <w:marTop w:val="200"/>
          <w:marBottom w:val="0"/>
          <w:divBdr>
            <w:top w:val="none" w:sz="0" w:space="0" w:color="auto"/>
            <w:left w:val="none" w:sz="0" w:space="0" w:color="auto"/>
            <w:bottom w:val="none" w:sz="0" w:space="0" w:color="auto"/>
            <w:right w:val="none" w:sz="0" w:space="0" w:color="auto"/>
          </w:divBdr>
        </w:div>
        <w:div w:id="1309676437">
          <w:marLeft w:val="360"/>
          <w:marRight w:val="0"/>
          <w:marTop w:val="200"/>
          <w:marBottom w:val="0"/>
          <w:divBdr>
            <w:top w:val="none" w:sz="0" w:space="0" w:color="auto"/>
            <w:left w:val="none" w:sz="0" w:space="0" w:color="auto"/>
            <w:bottom w:val="none" w:sz="0" w:space="0" w:color="auto"/>
            <w:right w:val="none" w:sz="0" w:space="0" w:color="auto"/>
          </w:divBdr>
        </w:div>
        <w:div w:id="1606187579">
          <w:marLeft w:val="1080"/>
          <w:marRight w:val="0"/>
          <w:marTop w:val="100"/>
          <w:marBottom w:val="0"/>
          <w:divBdr>
            <w:top w:val="none" w:sz="0" w:space="0" w:color="auto"/>
            <w:left w:val="none" w:sz="0" w:space="0" w:color="auto"/>
            <w:bottom w:val="none" w:sz="0" w:space="0" w:color="auto"/>
            <w:right w:val="none" w:sz="0" w:space="0" w:color="auto"/>
          </w:divBdr>
        </w:div>
        <w:div w:id="1863475618">
          <w:marLeft w:val="1080"/>
          <w:marRight w:val="0"/>
          <w:marTop w:val="100"/>
          <w:marBottom w:val="0"/>
          <w:divBdr>
            <w:top w:val="none" w:sz="0" w:space="0" w:color="auto"/>
            <w:left w:val="none" w:sz="0" w:space="0" w:color="auto"/>
            <w:bottom w:val="none" w:sz="0" w:space="0" w:color="auto"/>
            <w:right w:val="none" w:sz="0" w:space="0" w:color="auto"/>
          </w:divBdr>
        </w:div>
        <w:div w:id="2035109784">
          <w:marLeft w:val="360"/>
          <w:marRight w:val="0"/>
          <w:marTop w:val="200"/>
          <w:marBottom w:val="0"/>
          <w:divBdr>
            <w:top w:val="none" w:sz="0" w:space="0" w:color="auto"/>
            <w:left w:val="none" w:sz="0" w:space="0" w:color="auto"/>
            <w:bottom w:val="none" w:sz="0" w:space="0" w:color="auto"/>
            <w:right w:val="none" w:sz="0" w:space="0" w:color="auto"/>
          </w:divBdr>
        </w:div>
      </w:divsChild>
    </w:div>
    <w:div w:id="1636061746">
      <w:bodyDiv w:val="1"/>
      <w:marLeft w:val="0"/>
      <w:marRight w:val="0"/>
      <w:marTop w:val="0"/>
      <w:marBottom w:val="0"/>
      <w:divBdr>
        <w:top w:val="none" w:sz="0" w:space="0" w:color="auto"/>
        <w:left w:val="none" w:sz="0" w:space="0" w:color="auto"/>
        <w:bottom w:val="none" w:sz="0" w:space="0" w:color="auto"/>
        <w:right w:val="none" w:sz="0" w:space="0" w:color="auto"/>
      </w:divBdr>
    </w:div>
    <w:div w:id="1651446061">
      <w:bodyDiv w:val="1"/>
      <w:marLeft w:val="0"/>
      <w:marRight w:val="0"/>
      <w:marTop w:val="0"/>
      <w:marBottom w:val="0"/>
      <w:divBdr>
        <w:top w:val="none" w:sz="0" w:space="0" w:color="auto"/>
        <w:left w:val="none" w:sz="0" w:space="0" w:color="auto"/>
        <w:bottom w:val="none" w:sz="0" w:space="0" w:color="auto"/>
        <w:right w:val="none" w:sz="0" w:space="0" w:color="auto"/>
      </w:divBdr>
      <w:divsChild>
        <w:div w:id="627316934">
          <w:marLeft w:val="1080"/>
          <w:marRight w:val="0"/>
          <w:marTop w:val="100"/>
          <w:marBottom w:val="0"/>
          <w:divBdr>
            <w:top w:val="none" w:sz="0" w:space="0" w:color="auto"/>
            <w:left w:val="none" w:sz="0" w:space="0" w:color="auto"/>
            <w:bottom w:val="none" w:sz="0" w:space="0" w:color="auto"/>
            <w:right w:val="none" w:sz="0" w:space="0" w:color="auto"/>
          </w:divBdr>
        </w:div>
        <w:div w:id="1232689406">
          <w:marLeft w:val="1800"/>
          <w:marRight w:val="0"/>
          <w:marTop w:val="100"/>
          <w:marBottom w:val="0"/>
          <w:divBdr>
            <w:top w:val="none" w:sz="0" w:space="0" w:color="auto"/>
            <w:left w:val="none" w:sz="0" w:space="0" w:color="auto"/>
            <w:bottom w:val="none" w:sz="0" w:space="0" w:color="auto"/>
            <w:right w:val="none" w:sz="0" w:space="0" w:color="auto"/>
          </w:divBdr>
        </w:div>
        <w:div w:id="1733892004">
          <w:marLeft w:val="1800"/>
          <w:marRight w:val="0"/>
          <w:marTop w:val="100"/>
          <w:marBottom w:val="0"/>
          <w:divBdr>
            <w:top w:val="none" w:sz="0" w:space="0" w:color="auto"/>
            <w:left w:val="none" w:sz="0" w:space="0" w:color="auto"/>
            <w:bottom w:val="none" w:sz="0" w:space="0" w:color="auto"/>
            <w:right w:val="none" w:sz="0" w:space="0" w:color="auto"/>
          </w:divBdr>
        </w:div>
        <w:div w:id="2077582046">
          <w:marLeft w:val="1800"/>
          <w:marRight w:val="0"/>
          <w:marTop w:val="100"/>
          <w:marBottom w:val="0"/>
          <w:divBdr>
            <w:top w:val="none" w:sz="0" w:space="0" w:color="auto"/>
            <w:left w:val="none" w:sz="0" w:space="0" w:color="auto"/>
            <w:bottom w:val="none" w:sz="0" w:space="0" w:color="auto"/>
            <w:right w:val="none" w:sz="0" w:space="0" w:color="auto"/>
          </w:divBdr>
        </w:div>
        <w:div w:id="2107312311">
          <w:marLeft w:val="1800"/>
          <w:marRight w:val="0"/>
          <w:marTop w:val="100"/>
          <w:marBottom w:val="0"/>
          <w:divBdr>
            <w:top w:val="none" w:sz="0" w:space="0" w:color="auto"/>
            <w:left w:val="none" w:sz="0" w:space="0" w:color="auto"/>
            <w:bottom w:val="none" w:sz="0" w:space="0" w:color="auto"/>
            <w:right w:val="none" w:sz="0" w:space="0" w:color="auto"/>
          </w:divBdr>
        </w:div>
      </w:divsChild>
    </w:div>
    <w:div w:id="2072458880">
      <w:bodyDiv w:val="1"/>
      <w:marLeft w:val="0"/>
      <w:marRight w:val="0"/>
      <w:marTop w:val="0"/>
      <w:marBottom w:val="0"/>
      <w:divBdr>
        <w:top w:val="none" w:sz="0" w:space="0" w:color="auto"/>
        <w:left w:val="none" w:sz="0" w:space="0" w:color="auto"/>
        <w:bottom w:val="none" w:sz="0" w:space="0" w:color="auto"/>
        <w:right w:val="none" w:sz="0" w:space="0" w:color="auto"/>
      </w:divBdr>
      <w:divsChild>
        <w:div w:id="210209583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2E242-CDE8-41E5-A7D2-1674A285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1812</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8</cp:revision>
  <dcterms:created xsi:type="dcterms:W3CDTF">2018-05-14T05:49:00Z</dcterms:created>
  <dcterms:modified xsi:type="dcterms:W3CDTF">2018-05-14T17:33:00Z</dcterms:modified>
</cp:coreProperties>
</file>